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1E4A" w14:textId="77777777" w:rsidR="0000175A" w:rsidRPr="009559C2" w:rsidRDefault="0000175A">
      <w:pPr>
        <w:pStyle w:val="Title"/>
        <w:spacing w:line="240" w:lineRule="exact"/>
        <w:outlineLvl w:val="0"/>
        <w:rPr>
          <w:color w:val="000000"/>
        </w:rPr>
      </w:pPr>
      <w:r w:rsidRPr="009559C2">
        <w:rPr>
          <w:color w:val="000000"/>
        </w:rPr>
        <w:t xml:space="preserve">SPECIAL EDUCATION ADVISORY COUNCIL </w:t>
      </w:r>
    </w:p>
    <w:p w14:paraId="2C46C484" w14:textId="77777777" w:rsidR="0000175A" w:rsidRPr="009559C2" w:rsidRDefault="0000175A">
      <w:pPr>
        <w:pStyle w:val="Subtitle"/>
        <w:spacing w:line="240" w:lineRule="exact"/>
        <w:outlineLvl w:val="0"/>
        <w:rPr>
          <w:color w:val="000000"/>
        </w:rPr>
      </w:pPr>
      <w:r w:rsidRPr="009559C2">
        <w:rPr>
          <w:color w:val="000000"/>
        </w:rPr>
        <w:t xml:space="preserve">Minutes – </w:t>
      </w:r>
      <w:r w:rsidR="00AE790C">
        <w:rPr>
          <w:color w:val="000000"/>
        </w:rPr>
        <w:t>January 12, 2018</w:t>
      </w:r>
    </w:p>
    <w:p w14:paraId="31EDC84E" w14:textId="77777777" w:rsidR="0000175A" w:rsidRPr="009559C2" w:rsidRDefault="0000175A">
      <w:pPr>
        <w:widowControl w:val="0"/>
        <w:spacing w:line="240" w:lineRule="exact"/>
        <w:jc w:val="center"/>
        <w:outlineLvl w:val="0"/>
        <w:rPr>
          <w:color w:val="000000"/>
        </w:rPr>
      </w:pPr>
      <w:r w:rsidRPr="009559C2">
        <w:rPr>
          <w:color w:val="000000"/>
        </w:rPr>
        <w:t xml:space="preserve">9:00 a.m. – </w:t>
      </w:r>
      <w:r w:rsidR="00A355C0" w:rsidRPr="009559C2">
        <w:rPr>
          <w:color w:val="000000"/>
        </w:rPr>
        <w:t>1</w:t>
      </w:r>
      <w:r w:rsidR="00DF3108" w:rsidRPr="009559C2">
        <w:rPr>
          <w:color w:val="000000"/>
        </w:rPr>
        <w:t>2</w:t>
      </w:r>
      <w:r w:rsidRPr="009559C2">
        <w:rPr>
          <w:color w:val="000000"/>
        </w:rPr>
        <w:t>:00 p.m.</w:t>
      </w:r>
    </w:p>
    <w:p w14:paraId="0A2A35B3" w14:textId="77777777" w:rsidR="0000175A" w:rsidRPr="009559C2" w:rsidRDefault="0000175A">
      <w:pPr>
        <w:widowControl w:val="0"/>
        <w:spacing w:line="240" w:lineRule="exact"/>
        <w:jc w:val="center"/>
        <w:outlineLvl w:val="0"/>
        <w:rPr>
          <w:color w:val="000000"/>
        </w:rPr>
      </w:pPr>
    </w:p>
    <w:p w14:paraId="105AD3F2" w14:textId="77777777" w:rsidR="0000175A" w:rsidRPr="009559C2" w:rsidRDefault="0000175A">
      <w:pPr>
        <w:widowControl w:val="0"/>
        <w:spacing w:line="240" w:lineRule="exact"/>
        <w:ind w:right="360"/>
        <w:rPr>
          <w:color w:val="000000"/>
        </w:rPr>
      </w:pPr>
      <w:r w:rsidRPr="009559C2">
        <w:rPr>
          <w:b/>
          <w:color w:val="000000"/>
        </w:rPr>
        <w:t>PRESENT:</w:t>
      </w:r>
      <w:r w:rsidRPr="009559C2">
        <w:rPr>
          <w:color w:val="000000"/>
        </w:rPr>
        <w:t xml:space="preserve"> </w:t>
      </w:r>
      <w:r w:rsidR="00A355C0" w:rsidRPr="009559C2">
        <w:rPr>
          <w:color w:val="000000"/>
        </w:rPr>
        <w:t>Brendelyn Ancheta</w:t>
      </w:r>
      <w:r w:rsidR="00A355C0" w:rsidRPr="009559C2">
        <w:rPr>
          <w:b/>
          <w:color w:val="000000"/>
        </w:rPr>
        <w:t xml:space="preserve">, </w:t>
      </w:r>
      <w:r w:rsidRPr="009559C2">
        <w:rPr>
          <w:color w:val="000000"/>
        </w:rPr>
        <w:t>Debbie Cheeseman,</w:t>
      </w:r>
      <w:r w:rsidRPr="009559C2">
        <w:rPr>
          <w:b/>
          <w:color w:val="000000"/>
        </w:rPr>
        <w:t xml:space="preserve"> </w:t>
      </w:r>
      <w:r w:rsidR="00310830" w:rsidRPr="009559C2">
        <w:rPr>
          <w:color w:val="000000"/>
        </w:rPr>
        <w:t xml:space="preserve">Annette Cooper, </w:t>
      </w:r>
      <w:r w:rsidR="00555D2A" w:rsidRPr="009559C2">
        <w:rPr>
          <w:color w:val="000000"/>
        </w:rPr>
        <w:t xml:space="preserve">Gabriele Finn, </w:t>
      </w:r>
      <w:r w:rsidR="00526304" w:rsidRPr="009559C2">
        <w:rPr>
          <w:color w:val="000000"/>
        </w:rPr>
        <w:t xml:space="preserve">Sage Goto, </w:t>
      </w:r>
      <w:r w:rsidRPr="009559C2">
        <w:rPr>
          <w:color w:val="000000"/>
        </w:rPr>
        <w:t xml:space="preserve">Martha Guinan, </w:t>
      </w:r>
      <w:r w:rsidR="00555D2A" w:rsidRPr="009559C2">
        <w:rPr>
          <w:color w:val="000000"/>
        </w:rPr>
        <w:t>Scott Hashi</w:t>
      </w:r>
      <w:r w:rsidR="00310830" w:rsidRPr="009559C2">
        <w:rPr>
          <w:color w:val="000000"/>
        </w:rPr>
        <w:t xml:space="preserve">moto (for Kurt Humphrey) </w:t>
      </w:r>
      <w:r w:rsidR="00FF5CB6" w:rsidRPr="009559C2">
        <w:rPr>
          <w:color w:val="000000"/>
        </w:rPr>
        <w:t xml:space="preserve">Amanda Kaahanui (staff), </w:t>
      </w:r>
      <w:r w:rsidR="00C314AB" w:rsidRPr="009559C2">
        <w:rPr>
          <w:color w:val="000000"/>
        </w:rPr>
        <w:t>Kathy Kahoohanohano</w:t>
      </w:r>
      <w:r w:rsidR="00C314AB">
        <w:rPr>
          <w:color w:val="000000"/>
        </w:rPr>
        <w:t>,</w:t>
      </w:r>
      <w:r w:rsidR="00C314AB" w:rsidRPr="009559C2">
        <w:rPr>
          <w:color w:val="000000"/>
        </w:rPr>
        <w:t xml:space="preserve"> </w:t>
      </w:r>
      <w:r w:rsidR="00A4554A" w:rsidRPr="009559C2">
        <w:rPr>
          <w:color w:val="000000"/>
        </w:rPr>
        <w:t xml:space="preserve">Bernadette Lane, </w:t>
      </w:r>
      <w:r w:rsidR="00A4554A">
        <w:rPr>
          <w:color w:val="000000"/>
        </w:rPr>
        <w:t xml:space="preserve">Pina Lemusu (for Motu Finau), </w:t>
      </w:r>
      <w:r w:rsidR="00A4554A" w:rsidRPr="009559C2">
        <w:rPr>
          <w:color w:val="000000"/>
        </w:rPr>
        <w:t xml:space="preserve">Dale Matsuura, </w:t>
      </w:r>
      <w:r w:rsidR="00F06050" w:rsidRPr="009559C2">
        <w:rPr>
          <w:color w:val="000000"/>
        </w:rPr>
        <w:t>Kaili Murbach</w:t>
      </w:r>
      <w:r w:rsidR="00F84A80" w:rsidRPr="009559C2">
        <w:rPr>
          <w:color w:val="000000"/>
        </w:rPr>
        <w:t xml:space="preserve">, Charlene Robles, </w:t>
      </w:r>
      <w:r w:rsidRPr="009559C2">
        <w:rPr>
          <w:color w:val="000000"/>
        </w:rPr>
        <w:t>Susan Rocco</w:t>
      </w:r>
      <w:r w:rsidR="00FF5CB6" w:rsidRPr="009559C2">
        <w:rPr>
          <w:color w:val="000000"/>
        </w:rPr>
        <w:t xml:space="preserve"> (staff)</w:t>
      </w:r>
      <w:r w:rsidR="00AF3F1B" w:rsidRPr="009559C2">
        <w:rPr>
          <w:color w:val="000000"/>
        </w:rPr>
        <w:t xml:space="preserve">, </w:t>
      </w:r>
      <w:r w:rsidR="00F84A80" w:rsidRPr="009559C2">
        <w:rPr>
          <w:color w:val="000000"/>
        </w:rPr>
        <w:t xml:space="preserve">Rosie Rowe, </w:t>
      </w:r>
      <w:r w:rsidR="00F06050" w:rsidRPr="009559C2">
        <w:rPr>
          <w:color w:val="000000"/>
        </w:rPr>
        <w:t xml:space="preserve">Tricia Sheehey, </w:t>
      </w:r>
      <w:r w:rsidR="00A4554A" w:rsidRPr="009559C2">
        <w:rPr>
          <w:color w:val="000000"/>
        </w:rPr>
        <w:t xml:space="preserve">James Street, </w:t>
      </w:r>
      <w:r w:rsidR="00FF5CB6" w:rsidRPr="009559C2">
        <w:rPr>
          <w:color w:val="000000"/>
        </w:rPr>
        <w:t xml:space="preserve">Todd Takahashi, </w:t>
      </w:r>
      <w:r w:rsidR="00123801" w:rsidRPr="009559C2">
        <w:rPr>
          <w:color w:val="000000"/>
        </w:rPr>
        <w:t xml:space="preserve">Christina Tydeman (liaison to the Superintendent), </w:t>
      </w:r>
      <w:r w:rsidR="00F06050" w:rsidRPr="009559C2">
        <w:rPr>
          <w:color w:val="000000"/>
        </w:rPr>
        <w:t xml:space="preserve">Steven Vannatta, </w:t>
      </w:r>
      <w:r w:rsidR="00F84A80" w:rsidRPr="009559C2">
        <w:rPr>
          <w:color w:val="000000"/>
        </w:rPr>
        <w:t>Jasmine Williams</w:t>
      </w:r>
      <w:r w:rsidR="00423CF8" w:rsidRPr="009559C2">
        <w:rPr>
          <w:color w:val="000000"/>
        </w:rPr>
        <w:t>, Susan Wood</w:t>
      </w:r>
    </w:p>
    <w:p w14:paraId="07819C12" w14:textId="77777777" w:rsidR="00F06050" w:rsidRPr="009559C2" w:rsidRDefault="0000175A">
      <w:pPr>
        <w:widowControl w:val="0"/>
        <w:spacing w:line="240" w:lineRule="exact"/>
        <w:ind w:right="360"/>
        <w:rPr>
          <w:color w:val="000000"/>
        </w:rPr>
      </w:pPr>
      <w:r w:rsidRPr="009559C2">
        <w:rPr>
          <w:b/>
          <w:color w:val="000000"/>
        </w:rPr>
        <w:t>EXCUSED</w:t>
      </w:r>
      <w:r w:rsidRPr="009559C2">
        <w:rPr>
          <w:color w:val="000000"/>
        </w:rPr>
        <w:t>:</w:t>
      </w:r>
      <w:r w:rsidR="00123801" w:rsidRPr="009559C2">
        <w:rPr>
          <w:color w:val="000000"/>
        </w:rPr>
        <w:t xml:space="preserve"> </w:t>
      </w:r>
      <w:r w:rsidR="00AF0297" w:rsidRPr="009559C2">
        <w:rPr>
          <w:color w:val="000000"/>
        </w:rPr>
        <w:t xml:space="preserve">Ivalee Sinclair, </w:t>
      </w:r>
      <w:r w:rsidR="00A4554A">
        <w:rPr>
          <w:color w:val="000000"/>
        </w:rPr>
        <w:t xml:space="preserve">Stacey Oshio, </w:t>
      </w:r>
      <w:r w:rsidR="00A4554A" w:rsidRPr="009559C2">
        <w:rPr>
          <w:color w:val="000000"/>
        </w:rPr>
        <w:t xml:space="preserve">Kaui Rezentes, Daniel Santos, </w:t>
      </w:r>
      <w:r w:rsidR="00F84A80" w:rsidRPr="009559C2">
        <w:rPr>
          <w:color w:val="000000"/>
        </w:rPr>
        <w:t>Gavin Villar, Amy Wiech</w:t>
      </w:r>
    </w:p>
    <w:p w14:paraId="124D1803" w14:textId="77777777" w:rsidR="00F06050" w:rsidRPr="009559C2" w:rsidRDefault="00F06050">
      <w:pPr>
        <w:widowControl w:val="0"/>
        <w:spacing w:line="240" w:lineRule="exact"/>
        <w:ind w:right="360"/>
        <w:rPr>
          <w:color w:val="000000"/>
        </w:rPr>
      </w:pPr>
      <w:r w:rsidRPr="009559C2">
        <w:rPr>
          <w:b/>
          <w:color w:val="000000"/>
        </w:rPr>
        <w:t>ABSENT:</w:t>
      </w:r>
      <w:r w:rsidR="00526304" w:rsidRPr="009559C2">
        <w:rPr>
          <w:color w:val="000000"/>
        </w:rPr>
        <w:t xml:space="preserve">  </w:t>
      </w:r>
      <w:r w:rsidR="00C0642E" w:rsidRPr="009559C2">
        <w:rPr>
          <w:color w:val="000000"/>
        </w:rPr>
        <w:t>Bob Campbell</w:t>
      </w:r>
    </w:p>
    <w:p w14:paraId="329EEAC8" w14:textId="77777777" w:rsidR="00526304" w:rsidRPr="009559C2" w:rsidRDefault="0000175A">
      <w:pPr>
        <w:widowControl w:val="0"/>
        <w:spacing w:line="240" w:lineRule="exact"/>
        <w:ind w:right="360"/>
        <w:rPr>
          <w:color w:val="000000"/>
        </w:rPr>
      </w:pPr>
      <w:r w:rsidRPr="009559C2">
        <w:rPr>
          <w:b/>
          <w:color w:val="000000"/>
        </w:rPr>
        <w:t>GUESTS</w:t>
      </w:r>
      <w:r w:rsidR="00087792" w:rsidRPr="009559C2">
        <w:rPr>
          <w:color w:val="000000"/>
        </w:rPr>
        <w:t xml:space="preserve">: </w:t>
      </w:r>
      <w:r w:rsidR="00AE790C">
        <w:rPr>
          <w:color w:val="000000"/>
        </w:rPr>
        <w:t xml:space="preserve">Daintry Bartoldus, </w:t>
      </w:r>
      <w:r w:rsidR="009765FC">
        <w:rPr>
          <w:color w:val="000000"/>
        </w:rPr>
        <w:t xml:space="preserve">Cesar D’Agord, </w:t>
      </w:r>
      <w:r w:rsidR="00AE790C">
        <w:rPr>
          <w:color w:val="000000"/>
        </w:rPr>
        <w:t>Lori G</w:t>
      </w:r>
      <w:r w:rsidR="00423CF8">
        <w:rPr>
          <w:color w:val="000000"/>
        </w:rPr>
        <w:t>oeas, Dayna Hironaka, Corey Rosenlee, Jessica Worster</w:t>
      </w:r>
    </w:p>
    <w:p w14:paraId="15A1BD45" w14:textId="77777777" w:rsidR="00310830" w:rsidRPr="009559C2" w:rsidRDefault="00310830">
      <w:pPr>
        <w:widowControl w:val="0"/>
        <w:spacing w:line="240" w:lineRule="exact"/>
        <w:ind w:right="360"/>
        <w:rPr>
          <w:color w:val="000000"/>
        </w:rPr>
      </w:pPr>
    </w:p>
    <w:tbl>
      <w:tblPr>
        <w:tblW w:w="13130" w:type="dxa"/>
        <w:tblLayout w:type="fixed"/>
        <w:tblCellMar>
          <w:left w:w="80" w:type="dxa"/>
          <w:right w:w="80" w:type="dxa"/>
        </w:tblCellMar>
        <w:tblLook w:val="0000" w:firstRow="0" w:lastRow="0" w:firstColumn="0" w:lastColumn="0" w:noHBand="0" w:noVBand="0"/>
      </w:tblPr>
      <w:tblGrid>
        <w:gridCol w:w="2600"/>
        <w:gridCol w:w="7920"/>
        <w:gridCol w:w="2610"/>
      </w:tblGrid>
      <w:tr w:rsidR="001F59BC" w:rsidRPr="009559C2" w14:paraId="168FF6DE" w14:textId="77777777" w:rsidTr="003E5E8A">
        <w:tc>
          <w:tcPr>
            <w:tcW w:w="2600" w:type="dxa"/>
            <w:tcBorders>
              <w:top w:val="single" w:sz="6" w:space="0" w:color="auto"/>
              <w:left w:val="single" w:sz="6" w:space="0" w:color="auto"/>
              <w:bottom w:val="single" w:sz="6" w:space="0" w:color="auto"/>
              <w:right w:val="single" w:sz="6" w:space="0" w:color="auto"/>
            </w:tcBorders>
          </w:tcPr>
          <w:p w14:paraId="78E6C5E5" w14:textId="77777777" w:rsidR="0000175A" w:rsidRPr="009559C2" w:rsidRDefault="0000175A">
            <w:pPr>
              <w:widowControl w:val="0"/>
              <w:spacing w:line="240" w:lineRule="exact"/>
              <w:jc w:val="center"/>
              <w:rPr>
                <w:b/>
                <w:color w:val="000000"/>
              </w:rPr>
            </w:pPr>
            <w:r w:rsidRPr="009559C2">
              <w:rPr>
                <w:b/>
                <w:color w:val="000000"/>
              </w:rPr>
              <w:t>TOPIC</w:t>
            </w:r>
          </w:p>
        </w:tc>
        <w:tc>
          <w:tcPr>
            <w:tcW w:w="7920" w:type="dxa"/>
            <w:tcBorders>
              <w:top w:val="single" w:sz="6" w:space="0" w:color="auto"/>
              <w:left w:val="single" w:sz="6" w:space="0" w:color="auto"/>
              <w:bottom w:val="single" w:sz="6" w:space="0" w:color="auto"/>
              <w:right w:val="single" w:sz="6" w:space="0" w:color="auto"/>
            </w:tcBorders>
          </w:tcPr>
          <w:p w14:paraId="4842ED7C" w14:textId="77777777" w:rsidR="0000175A" w:rsidRPr="009559C2" w:rsidRDefault="0000175A">
            <w:pPr>
              <w:jc w:val="center"/>
              <w:rPr>
                <w:b/>
                <w:color w:val="000000"/>
              </w:rPr>
            </w:pPr>
            <w:r w:rsidRPr="009559C2">
              <w:rPr>
                <w:b/>
                <w:color w:val="000000"/>
              </w:rPr>
              <w:t>DISCUSSION</w:t>
            </w:r>
          </w:p>
        </w:tc>
        <w:tc>
          <w:tcPr>
            <w:tcW w:w="2610" w:type="dxa"/>
            <w:tcBorders>
              <w:top w:val="single" w:sz="6" w:space="0" w:color="auto"/>
              <w:left w:val="single" w:sz="6" w:space="0" w:color="auto"/>
              <w:bottom w:val="single" w:sz="6" w:space="0" w:color="auto"/>
              <w:right w:val="single" w:sz="6" w:space="0" w:color="auto"/>
            </w:tcBorders>
          </w:tcPr>
          <w:p w14:paraId="4A9D7B4C" w14:textId="77777777" w:rsidR="0000175A" w:rsidRPr="009559C2" w:rsidRDefault="0000175A">
            <w:pPr>
              <w:jc w:val="center"/>
              <w:rPr>
                <w:b/>
                <w:color w:val="000000"/>
              </w:rPr>
            </w:pPr>
            <w:r w:rsidRPr="009559C2">
              <w:rPr>
                <w:b/>
                <w:color w:val="000000"/>
              </w:rPr>
              <w:t>ACTION</w:t>
            </w:r>
          </w:p>
        </w:tc>
      </w:tr>
      <w:tr w:rsidR="001F59BC" w:rsidRPr="009559C2" w14:paraId="1D2B8DE1" w14:textId="77777777" w:rsidTr="003E5E8A">
        <w:tc>
          <w:tcPr>
            <w:tcW w:w="2600" w:type="dxa"/>
            <w:tcBorders>
              <w:top w:val="single" w:sz="6" w:space="0" w:color="auto"/>
              <w:left w:val="single" w:sz="6" w:space="0" w:color="auto"/>
              <w:bottom w:val="single" w:sz="6" w:space="0" w:color="auto"/>
              <w:right w:val="single" w:sz="6" w:space="0" w:color="auto"/>
            </w:tcBorders>
          </w:tcPr>
          <w:p w14:paraId="2BFE5779" w14:textId="77777777" w:rsidR="0000175A" w:rsidRPr="009559C2" w:rsidRDefault="0000175A">
            <w:pPr>
              <w:widowControl w:val="0"/>
              <w:spacing w:line="240" w:lineRule="exact"/>
              <w:rPr>
                <w:b/>
                <w:color w:val="000000"/>
              </w:rPr>
            </w:pPr>
            <w:r w:rsidRPr="009559C2">
              <w:rPr>
                <w:b/>
                <w:color w:val="000000"/>
              </w:rPr>
              <w:t>Call to Order</w:t>
            </w:r>
          </w:p>
        </w:tc>
        <w:tc>
          <w:tcPr>
            <w:tcW w:w="7920" w:type="dxa"/>
            <w:tcBorders>
              <w:top w:val="single" w:sz="6" w:space="0" w:color="auto"/>
              <w:left w:val="single" w:sz="6" w:space="0" w:color="auto"/>
              <w:bottom w:val="single" w:sz="6" w:space="0" w:color="auto"/>
              <w:right w:val="single" w:sz="6" w:space="0" w:color="auto"/>
            </w:tcBorders>
          </w:tcPr>
          <w:p w14:paraId="576E98F8" w14:textId="77777777" w:rsidR="0000175A" w:rsidRPr="009559C2" w:rsidRDefault="0000175A" w:rsidP="00B83EC0">
            <w:pPr>
              <w:rPr>
                <w:color w:val="000000"/>
              </w:rPr>
            </w:pPr>
            <w:r w:rsidRPr="009559C2">
              <w:rPr>
                <w:color w:val="000000"/>
              </w:rPr>
              <w:t>Chair Martha Guinan called the meeting to order at 9:</w:t>
            </w:r>
            <w:r w:rsidR="008E0662">
              <w:rPr>
                <w:color w:val="000000"/>
              </w:rPr>
              <w:t>13</w:t>
            </w:r>
            <w:r w:rsidRPr="009559C2">
              <w:rPr>
                <w:color w:val="000000"/>
              </w:rPr>
              <w:t xml:space="preserve"> a.m.</w:t>
            </w:r>
          </w:p>
        </w:tc>
        <w:tc>
          <w:tcPr>
            <w:tcW w:w="2610" w:type="dxa"/>
            <w:tcBorders>
              <w:top w:val="single" w:sz="6" w:space="0" w:color="auto"/>
              <w:left w:val="single" w:sz="6" w:space="0" w:color="auto"/>
              <w:bottom w:val="single" w:sz="6" w:space="0" w:color="auto"/>
              <w:right w:val="single" w:sz="6" w:space="0" w:color="auto"/>
            </w:tcBorders>
          </w:tcPr>
          <w:p w14:paraId="48EF3E08" w14:textId="77777777" w:rsidR="0000175A" w:rsidRPr="009559C2" w:rsidRDefault="0000175A">
            <w:pPr>
              <w:rPr>
                <w:color w:val="000000"/>
              </w:rPr>
            </w:pPr>
          </w:p>
        </w:tc>
      </w:tr>
      <w:tr w:rsidR="001F59BC" w:rsidRPr="009559C2" w14:paraId="697B46A5" w14:textId="77777777" w:rsidTr="003E5E8A">
        <w:tc>
          <w:tcPr>
            <w:tcW w:w="2600" w:type="dxa"/>
            <w:tcBorders>
              <w:top w:val="single" w:sz="6" w:space="0" w:color="auto"/>
              <w:left w:val="single" w:sz="6" w:space="0" w:color="auto"/>
              <w:bottom w:val="single" w:sz="6" w:space="0" w:color="auto"/>
              <w:right w:val="single" w:sz="6" w:space="0" w:color="auto"/>
            </w:tcBorders>
          </w:tcPr>
          <w:p w14:paraId="2AEEA377" w14:textId="77777777" w:rsidR="00E6056D" w:rsidRPr="009559C2" w:rsidRDefault="00E6056D" w:rsidP="00827AE4">
            <w:pPr>
              <w:widowControl w:val="0"/>
              <w:spacing w:line="240" w:lineRule="exact"/>
              <w:rPr>
                <w:b/>
                <w:color w:val="000000"/>
              </w:rPr>
            </w:pPr>
            <w:r w:rsidRPr="009559C2">
              <w:rPr>
                <w:b/>
                <w:color w:val="000000"/>
              </w:rPr>
              <w:t>Introductions</w:t>
            </w:r>
          </w:p>
        </w:tc>
        <w:tc>
          <w:tcPr>
            <w:tcW w:w="7920" w:type="dxa"/>
            <w:tcBorders>
              <w:top w:val="single" w:sz="6" w:space="0" w:color="auto"/>
              <w:left w:val="single" w:sz="6" w:space="0" w:color="auto"/>
              <w:bottom w:val="single" w:sz="6" w:space="0" w:color="auto"/>
              <w:right w:val="single" w:sz="6" w:space="0" w:color="auto"/>
            </w:tcBorders>
          </w:tcPr>
          <w:p w14:paraId="2001E4F3" w14:textId="77777777" w:rsidR="00E6056D" w:rsidRPr="009559C2" w:rsidRDefault="00E6056D" w:rsidP="009765FC">
            <w:pPr>
              <w:widowControl w:val="0"/>
              <w:tabs>
                <w:tab w:val="left" w:pos="220"/>
                <w:tab w:val="left" w:pos="720"/>
              </w:tabs>
              <w:autoSpaceDE w:val="0"/>
              <w:autoSpaceDN w:val="0"/>
              <w:adjustRightInd w:val="0"/>
              <w:rPr>
                <w:rFonts w:eastAsia="ＭＳ 明朝" w:cs="Calibri"/>
                <w:color w:val="000000"/>
                <w:sz w:val="25"/>
                <w:szCs w:val="25"/>
              </w:rPr>
            </w:pPr>
            <w:r w:rsidRPr="009559C2">
              <w:rPr>
                <w:rFonts w:eastAsia="ＭＳ 明朝" w:cs="Calibri"/>
                <w:color w:val="000000"/>
                <w:sz w:val="25"/>
                <w:szCs w:val="25"/>
              </w:rPr>
              <w:t xml:space="preserve">Members and guests introduced themselves to </w:t>
            </w:r>
            <w:r w:rsidR="009765FC">
              <w:rPr>
                <w:rFonts w:eastAsia="ＭＳ 明朝" w:cs="Calibri"/>
                <w:color w:val="000000"/>
                <w:sz w:val="25"/>
                <w:szCs w:val="25"/>
              </w:rPr>
              <w:t>Cesar D’Agord</w:t>
            </w:r>
            <w:r w:rsidRPr="009559C2">
              <w:rPr>
                <w:rFonts w:eastAsia="ＭＳ 明朝" w:cs="Calibri"/>
                <w:color w:val="000000"/>
                <w:sz w:val="25"/>
                <w:szCs w:val="25"/>
              </w:rPr>
              <w:t>.</w:t>
            </w:r>
            <w:r w:rsidR="009765FC">
              <w:rPr>
                <w:rFonts w:eastAsia="ＭＳ 明朝" w:cs="Calibri"/>
                <w:color w:val="000000"/>
                <w:sz w:val="25"/>
                <w:szCs w:val="25"/>
              </w:rPr>
              <w:t xml:space="preserve">  Christina Tydeman introduced two of her staff--Lori Goeas and Dayna Hironaka.</w:t>
            </w:r>
          </w:p>
        </w:tc>
        <w:tc>
          <w:tcPr>
            <w:tcW w:w="2610" w:type="dxa"/>
            <w:tcBorders>
              <w:top w:val="single" w:sz="6" w:space="0" w:color="auto"/>
              <w:left w:val="single" w:sz="6" w:space="0" w:color="auto"/>
              <w:bottom w:val="single" w:sz="6" w:space="0" w:color="auto"/>
              <w:right w:val="single" w:sz="6" w:space="0" w:color="auto"/>
            </w:tcBorders>
          </w:tcPr>
          <w:p w14:paraId="03B8F428" w14:textId="77777777" w:rsidR="00E6056D" w:rsidRPr="009559C2" w:rsidRDefault="00E6056D" w:rsidP="00827AE4">
            <w:pPr>
              <w:pStyle w:val="Header"/>
              <w:tabs>
                <w:tab w:val="clear" w:pos="4320"/>
                <w:tab w:val="clear" w:pos="8640"/>
              </w:tabs>
              <w:rPr>
                <w:color w:val="000000"/>
              </w:rPr>
            </w:pPr>
          </w:p>
        </w:tc>
      </w:tr>
      <w:tr w:rsidR="001F59BC" w:rsidRPr="009559C2" w14:paraId="662C2EC7" w14:textId="77777777" w:rsidTr="003E5E8A">
        <w:tc>
          <w:tcPr>
            <w:tcW w:w="2600" w:type="dxa"/>
            <w:tcBorders>
              <w:top w:val="single" w:sz="6" w:space="0" w:color="auto"/>
              <w:left w:val="single" w:sz="6" w:space="0" w:color="auto"/>
              <w:bottom w:val="single" w:sz="6" w:space="0" w:color="auto"/>
              <w:right w:val="single" w:sz="6" w:space="0" w:color="auto"/>
            </w:tcBorders>
          </w:tcPr>
          <w:p w14:paraId="395216E9" w14:textId="77777777" w:rsidR="00827AE4" w:rsidRPr="009559C2" w:rsidRDefault="00D736D4" w:rsidP="00827AE4">
            <w:pPr>
              <w:widowControl w:val="0"/>
              <w:spacing w:line="240" w:lineRule="exact"/>
              <w:rPr>
                <w:b/>
                <w:color w:val="000000"/>
              </w:rPr>
            </w:pPr>
            <w:r w:rsidRPr="009559C2">
              <w:rPr>
                <w:b/>
                <w:color w:val="000000"/>
              </w:rPr>
              <w:t>Announcements</w:t>
            </w:r>
          </w:p>
        </w:tc>
        <w:tc>
          <w:tcPr>
            <w:tcW w:w="7920" w:type="dxa"/>
            <w:tcBorders>
              <w:top w:val="single" w:sz="6" w:space="0" w:color="auto"/>
              <w:left w:val="single" w:sz="6" w:space="0" w:color="auto"/>
              <w:bottom w:val="single" w:sz="6" w:space="0" w:color="auto"/>
              <w:right w:val="single" w:sz="6" w:space="0" w:color="auto"/>
            </w:tcBorders>
          </w:tcPr>
          <w:p w14:paraId="1D45C2DC" w14:textId="77777777" w:rsidR="00AF0297" w:rsidRDefault="00210446" w:rsidP="00B83EC0">
            <w:pPr>
              <w:widowControl w:val="0"/>
              <w:tabs>
                <w:tab w:val="left" w:pos="220"/>
                <w:tab w:val="left" w:pos="720"/>
              </w:tabs>
              <w:autoSpaceDE w:val="0"/>
              <w:autoSpaceDN w:val="0"/>
              <w:adjustRightInd w:val="0"/>
              <w:rPr>
                <w:rFonts w:eastAsia="ＭＳ 明朝" w:cs="Calibri"/>
                <w:color w:val="000000"/>
                <w:sz w:val="25"/>
                <w:szCs w:val="25"/>
              </w:rPr>
            </w:pPr>
            <w:r>
              <w:rPr>
                <w:rFonts w:eastAsia="ＭＳ 明朝" w:cs="Calibri"/>
                <w:color w:val="000000"/>
                <w:sz w:val="25"/>
                <w:szCs w:val="25"/>
              </w:rPr>
              <w:t>1. Amanada Kaahanui announced that parent airfare scholarhips are available for attending the SPIN Conference in April, and SEAC will sponsor any member who would like to attend and/or help to man the SEAC table.</w:t>
            </w:r>
          </w:p>
          <w:p w14:paraId="18514013" w14:textId="77777777" w:rsidR="00D32BC9" w:rsidRDefault="00D32BC9" w:rsidP="00B83EC0">
            <w:pPr>
              <w:widowControl w:val="0"/>
              <w:tabs>
                <w:tab w:val="left" w:pos="220"/>
                <w:tab w:val="left" w:pos="720"/>
              </w:tabs>
              <w:autoSpaceDE w:val="0"/>
              <w:autoSpaceDN w:val="0"/>
              <w:adjustRightInd w:val="0"/>
              <w:rPr>
                <w:rFonts w:eastAsia="ＭＳ 明朝" w:cs="Calibri"/>
                <w:color w:val="000000"/>
                <w:sz w:val="25"/>
                <w:szCs w:val="25"/>
              </w:rPr>
            </w:pPr>
            <w:r>
              <w:rPr>
                <w:rFonts w:eastAsia="ＭＳ 明朝" w:cs="Calibri"/>
                <w:color w:val="000000"/>
                <w:sz w:val="25"/>
                <w:szCs w:val="25"/>
              </w:rPr>
              <w:t xml:space="preserve">2. Daintry Bartoldus announced that the DD Council is </w:t>
            </w:r>
            <w:r w:rsidR="009758FA">
              <w:rPr>
                <w:rFonts w:eastAsia="ＭＳ 明朝" w:cs="Calibri"/>
                <w:color w:val="000000"/>
                <w:sz w:val="25"/>
                <w:szCs w:val="25"/>
              </w:rPr>
              <w:t>inviting interested parties to</w:t>
            </w:r>
            <w:r>
              <w:rPr>
                <w:rFonts w:eastAsia="ＭＳ 明朝" w:cs="Calibri"/>
                <w:color w:val="000000"/>
                <w:sz w:val="25"/>
                <w:szCs w:val="25"/>
              </w:rPr>
              <w:t xml:space="preserve"> the February 2</w:t>
            </w:r>
            <w:r w:rsidRPr="00D32BC9">
              <w:rPr>
                <w:rFonts w:eastAsia="ＭＳ 明朝" w:cs="Calibri"/>
                <w:color w:val="000000"/>
                <w:sz w:val="25"/>
                <w:szCs w:val="25"/>
                <w:vertAlign w:val="superscript"/>
              </w:rPr>
              <w:t>nd</w:t>
            </w:r>
            <w:r>
              <w:rPr>
                <w:rFonts w:eastAsia="ＭＳ 明朝" w:cs="Calibri"/>
                <w:color w:val="000000"/>
                <w:sz w:val="25"/>
                <w:szCs w:val="25"/>
              </w:rPr>
              <w:t xml:space="preserve"> transition teachers conference at the Honolulu Airport, along with DOE, DVR, CAMHD, </w:t>
            </w:r>
            <w:r w:rsidR="009758FA">
              <w:rPr>
                <w:rFonts w:eastAsia="ＭＳ 明朝" w:cs="Calibri"/>
                <w:color w:val="000000"/>
                <w:sz w:val="25"/>
                <w:szCs w:val="25"/>
              </w:rPr>
              <w:t>and the CCCs.</w:t>
            </w:r>
          </w:p>
          <w:p w14:paraId="0013DDB1" w14:textId="77777777" w:rsidR="00210446" w:rsidRPr="008B16CE" w:rsidRDefault="009758FA" w:rsidP="008B16CE">
            <w:pPr>
              <w:widowControl w:val="0"/>
              <w:tabs>
                <w:tab w:val="left" w:pos="220"/>
                <w:tab w:val="left" w:pos="720"/>
              </w:tabs>
              <w:autoSpaceDE w:val="0"/>
              <w:autoSpaceDN w:val="0"/>
              <w:adjustRightInd w:val="0"/>
              <w:rPr>
                <w:rFonts w:eastAsia="ＭＳ 明朝" w:cs="Calibri"/>
                <w:color w:val="000000"/>
                <w:sz w:val="25"/>
                <w:szCs w:val="25"/>
              </w:rPr>
            </w:pPr>
            <w:r>
              <w:rPr>
                <w:rFonts w:eastAsia="ＭＳ 明朝" w:cs="Calibri"/>
                <w:color w:val="000000"/>
                <w:sz w:val="25"/>
                <w:szCs w:val="25"/>
              </w:rPr>
              <w:t>3. Susan Rocco reported that she w</w:t>
            </w:r>
            <w:r w:rsidR="008B16CE">
              <w:rPr>
                <w:rFonts w:eastAsia="ＭＳ 明朝" w:cs="Calibri"/>
                <w:color w:val="000000"/>
                <w:sz w:val="25"/>
                <w:szCs w:val="25"/>
              </w:rPr>
              <w:t>ill</w:t>
            </w:r>
            <w:r>
              <w:rPr>
                <w:rFonts w:eastAsia="ＭＳ 明朝" w:cs="Calibri"/>
                <w:color w:val="000000"/>
                <w:sz w:val="25"/>
                <w:szCs w:val="25"/>
              </w:rPr>
              <w:t xml:space="preserve"> be forwarding </w:t>
            </w:r>
            <w:r w:rsidR="008B16CE">
              <w:rPr>
                <w:rFonts w:eastAsia="ＭＳ 明朝" w:cs="Calibri"/>
                <w:color w:val="000000"/>
                <w:sz w:val="25"/>
                <w:szCs w:val="25"/>
              </w:rPr>
              <w:t xml:space="preserve">the link to </w:t>
            </w:r>
            <w:r>
              <w:rPr>
                <w:rFonts w:eastAsia="ＭＳ 明朝" w:cs="Calibri"/>
                <w:color w:val="000000"/>
                <w:sz w:val="25"/>
                <w:szCs w:val="25"/>
              </w:rPr>
              <w:t>DOE</w:t>
            </w:r>
            <w:r w:rsidR="008B16CE">
              <w:rPr>
                <w:rFonts w:eastAsia="ＭＳ 明朝" w:cs="Calibri"/>
                <w:color w:val="000000"/>
                <w:sz w:val="25"/>
                <w:szCs w:val="25"/>
              </w:rPr>
              <w:t>’s</w:t>
            </w:r>
            <w:r>
              <w:rPr>
                <w:rFonts w:eastAsia="ＭＳ 明朝" w:cs="Calibri"/>
                <w:color w:val="000000"/>
                <w:sz w:val="25"/>
                <w:szCs w:val="25"/>
              </w:rPr>
              <w:t xml:space="preserve"> </w:t>
            </w:r>
            <w:r w:rsidRPr="008B16CE">
              <w:rPr>
                <w:rFonts w:eastAsia="ＭＳ 明朝" w:cs="Calibri"/>
                <w:b/>
                <w:color w:val="000000"/>
                <w:sz w:val="25"/>
                <w:szCs w:val="25"/>
              </w:rPr>
              <w:t xml:space="preserve">Report to the Legislature on </w:t>
            </w:r>
            <w:r w:rsidR="008B16CE" w:rsidRPr="008B16CE">
              <w:rPr>
                <w:rFonts w:eastAsia="ＭＳ 明朝" w:cs="Calibri"/>
                <w:b/>
                <w:color w:val="000000"/>
                <w:sz w:val="25"/>
                <w:szCs w:val="25"/>
              </w:rPr>
              <w:t>Behavior Analyst and Certification Requirement Implementation</w:t>
            </w:r>
            <w:r w:rsidR="008B16CE">
              <w:rPr>
                <w:rFonts w:eastAsia="ＭＳ 明朝" w:cs="Calibri"/>
                <w:b/>
                <w:color w:val="000000"/>
                <w:sz w:val="25"/>
                <w:szCs w:val="25"/>
              </w:rPr>
              <w:t xml:space="preserve"> </w:t>
            </w:r>
            <w:r w:rsidR="008B16CE">
              <w:rPr>
                <w:rFonts w:eastAsia="ＭＳ 明朝" w:cs="Calibri"/>
                <w:color w:val="000000"/>
                <w:sz w:val="25"/>
                <w:szCs w:val="25"/>
              </w:rPr>
              <w:t>that was given to Legislators on January 5</w:t>
            </w:r>
            <w:r w:rsidR="008B16CE" w:rsidRPr="008B16CE">
              <w:rPr>
                <w:rFonts w:eastAsia="ＭＳ 明朝" w:cs="Calibri"/>
                <w:color w:val="000000"/>
                <w:sz w:val="25"/>
                <w:szCs w:val="25"/>
                <w:vertAlign w:val="superscript"/>
              </w:rPr>
              <w:t>th</w:t>
            </w:r>
            <w:r w:rsidR="003F3881">
              <w:rPr>
                <w:rFonts w:eastAsia="ＭＳ 明朝" w:cs="Calibri"/>
                <w:color w:val="000000"/>
                <w:sz w:val="25"/>
                <w:szCs w:val="25"/>
              </w:rPr>
              <w:t>, as it provides information SEAC members have been seeking.</w:t>
            </w:r>
          </w:p>
        </w:tc>
        <w:tc>
          <w:tcPr>
            <w:tcW w:w="2610" w:type="dxa"/>
            <w:tcBorders>
              <w:top w:val="single" w:sz="6" w:space="0" w:color="auto"/>
              <w:left w:val="single" w:sz="6" w:space="0" w:color="auto"/>
              <w:bottom w:val="single" w:sz="6" w:space="0" w:color="auto"/>
              <w:right w:val="single" w:sz="6" w:space="0" w:color="auto"/>
            </w:tcBorders>
          </w:tcPr>
          <w:p w14:paraId="152C790A" w14:textId="2EFA4BE6" w:rsidR="00D052BF" w:rsidRPr="009559C2" w:rsidRDefault="00D052BF" w:rsidP="00827AE4">
            <w:pPr>
              <w:pStyle w:val="Header"/>
              <w:tabs>
                <w:tab w:val="clear" w:pos="4320"/>
                <w:tab w:val="clear" w:pos="8640"/>
              </w:tabs>
              <w:rPr>
                <w:color w:val="000000"/>
              </w:rPr>
            </w:pPr>
          </w:p>
        </w:tc>
      </w:tr>
      <w:tr w:rsidR="003F3881" w:rsidRPr="009559C2" w14:paraId="2B71B008" w14:textId="77777777" w:rsidTr="003E5E8A">
        <w:tc>
          <w:tcPr>
            <w:tcW w:w="2600" w:type="dxa"/>
            <w:tcBorders>
              <w:top w:val="single" w:sz="6" w:space="0" w:color="auto"/>
              <w:left w:val="single" w:sz="6" w:space="0" w:color="auto"/>
              <w:bottom w:val="single" w:sz="6" w:space="0" w:color="auto"/>
              <w:right w:val="single" w:sz="6" w:space="0" w:color="auto"/>
            </w:tcBorders>
          </w:tcPr>
          <w:p w14:paraId="480B6DFD" w14:textId="77777777" w:rsidR="003F3881" w:rsidRPr="009559C2" w:rsidRDefault="003F3881" w:rsidP="003F3881">
            <w:pPr>
              <w:widowControl w:val="0"/>
              <w:rPr>
                <w:b/>
                <w:color w:val="000000"/>
              </w:rPr>
            </w:pPr>
            <w:r w:rsidRPr="009559C2">
              <w:rPr>
                <w:b/>
                <w:color w:val="000000"/>
              </w:rPr>
              <w:t xml:space="preserve">Review of Minutes for </w:t>
            </w:r>
            <w:r>
              <w:rPr>
                <w:b/>
                <w:color w:val="000000"/>
              </w:rPr>
              <w:t>December 1</w:t>
            </w:r>
            <w:r w:rsidRPr="009559C2">
              <w:rPr>
                <w:b/>
                <w:color w:val="000000"/>
              </w:rPr>
              <w:t>, 2017</w:t>
            </w:r>
          </w:p>
        </w:tc>
        <w:tc>
          <w:tcPr>
            <w:tcW w:w="7920" w:type="dxa"/>
            <w:tcBorders>
              <w:top w:val="single" w:sz="6" w:space="0" w:color="auto"/>
              <w:left w:val="single" w:sz="6" w:space="0" w:color="auto"/>
              <w:bottom w:val="single" w:sz="6" w:space="0" w:color="auto"/>
              <w:right w:val="single" w:sz="6" w:space="0" w:color="auto"/>
            </w:tcBorders>
          </w:tcPr>
          <w:p w14:paraId="79876789" w14:textId="77777777" w:rsidR="003F3881" w:rsidRPr="009559C2" w:rsidRDefault="003F3881" w:rsidP="003F3881">
            <w:pPr>
              <w:tabs>
                <w:tab w:val="left" w:pos="507"/>
              </w:tabs>
              <w:rPr>
                <w:color w:val="000000"/>
              </w:rPr>
            </w:pPr>
            <w:r w:rsidRPr="009559C2">
              <w:rPr>
                <w:color w:val="000000"/>
              </w:rPr>
              <w:t xml:space="preserve">No corrections were offered for the minutes of the </w:t>
            </w:r>
            <w:r>
              <w:rPr>
                <w:color w:val="000000"/>
              </w:rPr>
              <w:t>December 1</w:t>
            </w:r>
            <w:r w:rsidRPr="009559C2">
              <w:rPr>
                <w:color w:val="000000"/>
              </w:rPr>
              <w:t>, 2017 SEAC meeting.</w:t>
            </w:r>
          </w:p>
        </w:tc>
        <w:tc>
          <w:tcPr>
            <w:tcW w:w="2610" w:type="dxa"/>
            <w:tcBorders>
              <w:top w:val="single" w:sz="6" w:space="0" w:color="auto"/>
              <w:left w:val="single" w:sz="6" w:space="0" w:color="auto"/>
              <w:bottom w:val="single" w:sz="6" w:space="0" w:color="auto"/>
              <w:right w:val="single" w:sz="6" w:space="0" w:color="auto"/>
            </w:tcBorders>
          </w:tcPr>
          <w:p w14:paraId="5A9BF0CC" w14:textId="77777777" w:rsidR="003F3881" w:rsidRPr="009559C2" w:rsidRDefault="003F3881" w:rsidP="00F02DBE">
            <w:pPr>
              <w:rPr>
                <w:color w:val="000000"/>
              </w:rPr>
            </w:pPr>
            <w:r w:rsidRPr="009559C2">
              <w:rPr>
                <w:color w:val="000000"/>
              </w:rPr>
              <w:t>The minutes were approved as circulated.</w:t>
            </w:r>
          </w:p>
        </w:tc>
      </w:tr>
      <w:tr w:rsidR="003F3881" w:rsidRPr="009559C2" w14:paraId="7E14DBF9" w14:textId="77777777" w:rsidTr="003E5E8A">
        <w:tc>
          <w:tcPr>
            <w:tcW w:w="2600" w:type="dxa"/>
            <w:tcBorders>
              <w:top w:val="single" w:sz="6" w:space="0" w:color="auto"/>
              <w:left w:val="single" w:sz="6" w:space="0" w:color="auto"/>
              <w:bottom w:val="single" w:sz="6" w:space="0" w:color="auto"/>
              <w:right w:val="single" w:sz="6" w:space="0" w:color="auto"/>
            </w:tcBorders>
          </w:tcPr>
          <w:p w14:paraId="437AE84A" w14:textId="77777777" w:rsidR="003F3881" w:rsidRPr="003F3881" w:rsidRDefault="003F3881" w:rsidP="003F3881">
            <w:pPr>
              <w:widowControl w:val="0"/>
              <w:rPr>
                <w:b/>
                <w:color w:val="000000"/>
              </w:rPr>
            </w:pPr>
            <w:r w:rsidRPr="003F3881">
              <w:rPr>
                <w:b/>
                <w:sz w:val="26"/>
                <w:szCs w:val="26"/>
              </w:rPr>
              <w:t>Employment Supports for Transitioning Youth with Disabilities</w:t>
            </w:r>
          </w:p>
        </w:tc>
        <w:tc>
          <w:tcPr>
            <w:tcW w:w="7920" w:type="dxa"/>
            <w:tcBorders>
              <w:top w:val="single" w:sz="6" w:space="0" w:color="auto"/>
              <w:left w:val="single" w:sz="6" w:space="0" w:color="auto"/>
              <w:bottom w:val="single" w:sz="6" w:space="0" w:color="auto"/>
              <w:right w:val="single" w:sz="6" w:space="0" w:color="auto"/>
            </w:tcBorders>
          </w:tcPr>
          <w:p w14:paraId="5D2E405D" w14:textId="77777777" w:rsidR="003F3881" w:rsidRPr="009559C2" w:rsidRDefault="003F3881" w:rsidP="003F3881">
            <w:pPr>
              <w:tabs>
                <w:tab w:val="left" w:pos="507"/>
              </w:tabs>
              <w:rPr>
                <w:color w:val="000000"/>
              </w:rPr>
            </w:pPr>
            <w:r>
              <w:rPr>
                <w:color w:val="000000"/>
              </w:rPr>
              <w:t xml:space="preserve">Jessica Worster, Employment Services Program Specialist for the Developmental Disabilities Division, shared a Powerpoint presentation entitled </w:t>
            </w:r>
            <w:r w:rsidR="002208F2">
              <w:rPr>
                <w:color w:val="000000"/>
              </w:rPr>
              <w:t>“Pathway to Employment for DD Students.”  She explained that Hawaii is behind nationally in providing career planning and job placement for their target population, so the Division is making a concerted effort to catch up.  They have decided to focus on “customized employment” rather than “competitive integrated employment” which hasn’t worked well for developmentally disabled clients.</w:t>
            </w:r>
            <w:r w:rsidR="00C7240D">
              <w:rPr>
                <w:color w:val="000000"/>
              </w:rPr>
              <w:t xml:space="preserve">  Customized employment includes a period of “discovery</w:t>
            </w:r>
            <w:r w:rsidR="0042169A">
              <w:rPr>
                <w:color w:val="000000"/>
              </w:rPr>
              <w:t>” to tease out marketable skills, preferences and ideal workplace</w:t>
            </w:r>
          </w:p>
        </w:tc>
        <w:tc>
          <w:tcPr>
            <w:tcW w:w="2610" w:type="dxa"/>
            <w:tcBorders>
              <w:top w:val="single" w:sz="6" w:space="0" w:color="auto"/>
              <w:left w:val="single" w:sz="6" w:space="0" w:color="auto"/>
              <w:bottom w:val="single" w:sz="6" w:space="0" w:color="auto"/>
              <w:right w:val="single" w:sz="6" w:space="0" w:color="auto"/>
            </w:tcBorders>
          </w:tcPr>
          <w:p w14:paraId="526815B0" w14:textId="77777777" w:rsidR="003F3881" w:rsidRPr="009559C2" w:rsidRDefault="002208F2" w:rsidP="00F02DBE">
            <w:pPr>
              <w:rPr>
                <w:color w:val="000000"/>
              </w:rPr>
            </w:pPr>
            <w:r>
              <w:rPr>
                <w:color w:val="000000"/>
              </w:rPr>
              <w:t>A handout containing the major points in the presentation was disseminated.</w:t>
            </w:r>
          </w:p>
        </w:tc>
      </w:tr>
    </w:tbl>
    <w:p w14:paraId="0147D3E6" w14:textId="77777777" w:rsidR="0000175A" w:rsidRPr="009559C2" w:rsidRDefault="007A5542">
      <w:pPr>
        <w:rPr>
          <w:color w:val="000000"/>
        </w:rPr>
      </w:pPr>
      <w:r w:rsidRPr="009559C2">
        <w:rPr>
          <w:color w:val="000000"/>
        </w:rPr>
        <w:br w:type="page"/>
      </w:r>
      <w:r w:rsidR="0000175A" w:rsidRPr="009559C2">
        <w:rPr>
          <w:color w:val="000000"/>
        </w:rPr>
        <w:lastRenderedPageBreak/>
        <w:t>SEAC Minutes</w:t>
      </w:r>
    </w:p>
    <w:p w14:paraId="3B98DC85" w14:textId="303826BA" w:rsidR="0000175A" w:rsidRPr="009559C2" w:rsidRDefault="006A7CE9" w:rsidP="00E10732">
      <w:pPr>
        <w:tabs>
          <w:tab w:val="left" w:pos="2430"/>
          <w:tab w:val="left" w:pos="2827"/>
        </w:tabs>
        <w:rPr>
          <w:color w:val="000000"/>
        </w:rPr>
      </w:pPr>
      <w:r>
        <w:rPr>
          <w:color w:val="000000"/>
        </w:rPr>
        <w:t>January 12, 2018</w:t>
      </w:r>
      <w:r w:rsidR="00E10732">
        <w:rPr>
          <w:color w:val="000000"/>
        </w:rPr>
        <w:tab/>
      </w:r>
    </w:p>
    <w:p w14:paraId="7250BC79" w14:textId="77777777" w:rsidR="0000175A" w:rsidRPr="009559C2" w:rsidRDefault="0000175A">
      <w:pPr>
        <w:rPr>
          <w:color w:val="000000"/>
        </w:rPr>
      </w:pPr>
      <w:r w:rsidRPr="009559C2">
        <w:rPr>
          <w:color w:val="000000"/>
        </w:rPr>
        <w:t xml:space="preserve">Page </w:t>
      </w:r>
      <w:r w:rsidR="009C70D2" w:rsidRPr="009559C2">
        <w:rPr>
          <w:color w:val="000000"/>
        </w:rPr>
        <w:t>2</w:t>
      </w:r>
    </w:p>
    <w:p w14:paraId="1E5B5150" w14:textId="77777777" w:rsidR="0000175A" w:rsidRPr="009559C2" w:rsidRDefault="0000175A">
      <w:pPr>
        <w:rPr>
          <w:color w:val="000000"/>
        </w:rPr>
      </w:pPr>
    </w:p>
    <w:tbl>
      <w:tblPr>
        <w:tblW w:w="13220" w:type="dxa"/>
        <w:tblLayout w:type="fixed"/>
        <w:tblCellMar>
          <w:left w:w="80" w:type="dxa"/>
          <w:right w:w="80" w:type="dxa"/>
        </w:tblCellMar>
        <w:tblLook w:val="0000" w:firstRow="0" w:lastRow="0" w:firstColumn="0" w:lastColumn="0" w:noHBand="0" w:noVBand="0"/>
      </w:tblPr>
      <w:tblGrid>
        <w:gridCol w:w="2618"/>
        <w:gridCol w:w="7902"/>
        <w:gridCol w:w="2700"/>
      </w:tblGrid>
      <w:tr w:rsidR="0000175A" w:rsidRPr="009559C2" w14:paraId="2B2BF99C" w14:textId="77777777" w:rsidTr="003E5E8A">
        <w:tc>
          <w:tcPr>
            <w:tcW w:w="2618" w:type="dxa"/>
            <w:tcBorders>
              <w:top w:val="single" w:sz="6" w:space="0" w:color="auto"/>
              <w:left w:val="single" w:sz="6" w:space="0" w:color="auto"/>
              <w:bottom w:val="single" w:sz="6" w:space="0" w:color="auto"/>
              <w:right w:val="single" w:sz="6" w:space="0" w:color="auto"/>
            </w:tcBorders>
          </w:tcPr>
          <w:p w14:paraId="304B3E82" w14:textId="77777777" w:rsidR="00A445F1" w:rsidRPr="009559C2" w:rsidRDefault="0042169A" w:rsidP="00A445F1">
            <w:pPr>
              <w:rPr>
                <w:b/>
                <w:color w:val="000000"/>
                <w:szCs w:val="24"/>
              </w:rPr>
            </w:pPr>
            <w:r>
              <w:rPr>
                <w:b/>
                <w:sz w:val="26"/>
                <w:szCs w:val="26"/>
              </w:rPr>
              <w:t xml:space="preserve">Employment </w:t>
            </w:r>
            <w:r w:rsidRPr="003F3881">
              <w:rPr>
                <w:b/>
                <w:sz w:val="26"/>
                <w:szCs w:val="26"/>
              </w:rPr>
              <w:t>Supports for Transitioning Youth with Disabilities</w:t>
            </w:r>
            <w:r w:rsidRPr="009559C2">
              <w:rPr>
                <w:b/>
                <w:color w:val="000000"/>
                <w:szCs w:val="24"/>
              </w:rPr>
              <w:t xml:space="preserve"> </w:t>
            </w:r>
            <w:r w:rsidR="00A445F1" w:rsidRPr="009559C2">
              <w:rPr>
                <w:b/>
                <w:color w:val="000000"/>
                <w:szCs w:val="24"/>
              </w:rPr>
              <w:t>(cont.)</w:t>
            </w:r>
          </w:p>
          <w:p w14:paraId="51A9CFE7" w14:textId="77777777" w:rsidR="0000175A" w:rsidRPr="009559C2" w:rsidRDefault="0000175A" w:rsidP="005B41E9">
            <w:pPr>
              <w:widowControl w:val="0"/>
              <w:rPr>
                <w:b/>
                <w:color w:val="000000"/>
              </w:rPr>
            </w:pPr>
          </w:p>
        </w:tc>
        <w:tc>
          <w:tcPr>
            <w:tcW w:w="7902" w:type="dxa"/>
            <w:tcBorders>
              <w:top w:val="single" w:sz="6" w:space="0" w:color="auto"/>
              <w:left w:val="single" w:sz="6" w:space="0" w:color="auto"/>
              <w:bottom w:val="single" w:sz="6" w:space="0" w:color="auto"/>
              <w:right w:val="single" w:sz="6" w:space="0" w:color="auto"/>
            </w:tcBorders>
          </w:tcPr>
          <w:p w14:paraId="7A99A01D" w14:textId="77777777" w:rsidR="000B4FD7" w:rsidRDefault="0042169A" w:rsidP="0042169A">
            <w:pPr>
              <w:rPr>
                <w:color w:val="000000"/>
              </w:rPr>
            </w:pPr>
            <w:r w:rsidRPr="0042169A">
              <w:rPr>
                <w:color w:val="000000"/>
              </w:rPr>
              <w:t>conditions.</w:t>
            </w:r>
            <w:r>
              <w:rPr>
                <w:color w:val="000000"/>
              </w:rPr>
              <w:t xml:space="preserve">  Families are encouraged to join in the process and think about potential job connections within their network of relatives and friends.</w:t>
            </w:r>
          </w:p>
          <w:p w14:paraId="72A07883" w14:textId="77777777" w:rsidR="0042169A" w:rsidRDefault="0042169A" w:rsidP="00E45B6D">
            <w:pPr>
              <w:rPr>
                <w:color w:val="000000"/>
              </w:rPr>
            </w:pPr>
            <w:r>
              <w:rPr>
                <w:color w:val="000000"/>
              </w:rPr>
              <w:t xml:space="preserve">Benefits counseling from the Center on Disability Studies are offered </w:t>
            </w:r>
            <w:r w:rsidR="00E45B6D">
              <w:rPr>
                <w:color w:val="000000"/>
              </w:rPr>
              <w:t>to show how clients can maintain government benefits while employed.  Although the DD Waiver cannot duplicate services offered by DVR, they can step in to extend services after 90 days of DVR support.</w:t>
            </w:r>
          </w:p>
          <w:p w14:paraId="113C1CB9" w14:textId="77777777" w:rsidR="00E45B6D" w:rsidRDefault="00E45B6D" w:rsidP="00E45B6D">
            <w:pPr>
              <w:rPr>
                <w:color w:val="000000"/>
                <w:u w:val="single"/>
              </w:rPr>
            </w:pPr>
            <w:r w:rsidRPr="00E45B6D">
              <w:rPr>
                <w:color w:val="000000"/>
                <w:u w:val="single"/>
              </w:rPr>
              <w:t>Questions/comments from members and guests:</w:t>
            </w:r>
          </w:p>
          <w:p w14:paraId="4A26A4AC" w14:textId="77777777" w:rsidR="00E45B6D" w:rsidRDefault="00E45B6D" w:rsidP="00E45B6D">
            <w:pPr>
              <w:rPr>
                <w:color w:val="000000"/>
              </w:rPr>
            </w:pPr>
            <w:r>
              <w:rPr>
                <w:color w:val="000000"/>
              </w:rPr>
              <w:t>Q. Are high school students who are earning a small stipend while trying out employment eligible for the Waiver employment services?  A. No.</w:t>
            </w:r>
          </w:p>
          <w:p w14:paraId="47882E8E" w14:textId="77777777" w:rsidR="00E45B6D" w:rsidRDefault="00E45B6D" w:rsidP="00E45B6D">
            <w:pPr>
              <w:rPr>
                <w:color w:val="000000"/>
              </w:rPr>
            </w:pPr>
            <w:r>
              <w:rPr>
                <w:color w:val="000000"/>
              </w:rPr>
              <w:t>C. Under DOE/DVR programs, there are few opportunities for the process of discovery.  A. We are hoping to develop a Memorandum of Understanding with DVR</w:t>
            </w:r>
            <w:r w:rsidR="009765FC">
              <w:rPr>
                <w:color w:val="000000"/>
              </w:rPr>
              <w:t xml:space="preserve"> to provide customized emplyment with discovery.</w:t>
            </w:r>
          </w:p>
          <w:p w14:paraId="4E6ECFC8" w14:textId="77777777" w:rsidR="009765FC" w:rsidRPr="00E45B6D" w:rsidRDefault="009765FC" w:rsidP="00E45B6D">
            <w:pPr>
              <w:rPr>
                <w:color w:val="000000"/>
              </w:rPr>
            </w:pPr>
            <w:r>
              <w:rPr>
                <w:color w:val="000000"/>
              </w:rPr>
              <w:t xml:space="preserve">Q. Will your training package include a videotape of your presentation today?  C. I would like to see it again to develop a new way of thinking.  A. The company that is helping to put the training together is Transcend, and we plan to add it to the DDD web page. </w:t>
            </w:r>
          </w:p>
        </w:tc>
        <w:tc>
          <w:tcPr>
            <w:tcW w:w="2700" w:type="dxa"/>
            <w:tcBorders>
              <w:top w:val="single" w:sz="6" w:space="0" w:color="auto"/>
              <w:left w:val="single" w:sz="6" w:space="0" w:color="auto"/>
              <w:bottom w:val="single" w:sz="6" w:space="0" w:color="auto"/>
              <w:right w:val="single" w:sz="6" w:space="0" w:color="auto"/>
            </w:tcBorders>
          </w:tcPr>
          <w:p w14:paraId="0C260F77" w14:textId="77777777" w:rsidR="00B924FD" w:rsidRPr="009559C2" w:rsidRDefault="001C1710" w:rsidP="001C1710">
            <w:pPr>
              <w:rPr>
                <w:color w:val="000000"/>
              </w:rPr>
            </w:pPr>
            <w:r w:rsidRPr="009559C2">
              <w:rPr>
                <w:color w:val="000000"/>
              </w:rPr>
              <w:t xml:space="preserve"> </w:t>
            </w:r>
          </w:p>
        </w:tc>
      </w:tr>
      <w:tr w:rsidR="00D64C5D" w:rsidRPr="009559C2" w14:paraId="210B1223" w14:textId="77777777" w:rsidTr="003E5E8A">
        <w:tc>
          <w:tcPr>
            <w:tcW w:w="2618" w:type="dxa"/>
            <w:tcBorders>
              <w:top w:val="single" w:sz="6" w:space="0" w:color="auto"/>
              <w:left w:val="single" w:sz="6" w:space="0" w:color="auto"/>
              <w:bottom w:val="single" w:sz="6" w:space="0" w:color="auto"/>
              <w:right w:val="single" w:sz="6" w:space="0" w:color="auto"/>
            </w:tcBorders>
          </w:tcPr>
          <w:p w14:paraId="5113A40C" w14:textId="77777777" w:rsidR="00D64C5D" w:rsidRDefault="00EF14D7" w:rsidP="00A445F1">
            <w:pPr>
              <w:rPr>
                <w:b/>
                <w:sz w:val="26"/>
                <w:szCs w:val="26"/>
              </w:rPr>
            </w:pPr>
            <w:r>
              <w:rPr>
                <w:b/>
                <w:sz w:val="26"/>
                <w:szCs w:val="26"/>
              </w:rPr>
              <w:t>Presentation on Significant Disproportionality</w:t>
            </w:r>
          </w:p>
        </w:tc>
        <w:tc>
          <w:tcPr>
            <w:tcW w:w="7902" w:type="dxa"/>
            <w:tcBorders>
              <w:top w:val="single" w:sz="6" w:space="0" w:color="auto"/>
              <w:left w:val="single" w:sz="6" w:space="0" w:color="auto"/>
              <w:bottom w:val="single" w:sz="6" w:space="0" w:color="auto"/>
              <w:right w:val="single" w:sz="6" w:space="0" w:color="auto"/>
            </w:tcBorders>
          </w:tcPr>
          <w:p w14:paraId="79893A0C" w14:textId="77777777" w:rsidR="00D64C5D" w:rsidRPr="0042169A" w:rsidRDefault="00EF14D7" w:rsidP="00FC106E">
            <w:pPr>
              <w:rPr>
                <w:color w:val="000000"/>
              </w:rPr>
            </w:pPr>
            <w:r>
              <w:rPr>
                <w:color w:val="000000"/>
              </w:rPr>
              <w:t xml:space="preserve">Christina prefaced the presentation by explaining that it will be introducing contextual pieces that SEAC will be reacting to as a stakeholder group when data is available.  The discussion will continue in March when SEAC is given the Department’s draft proposal for meeting the new IDEA requirements </w:t>
            </w:r>
            <w:r w:rsidR="00715CCC">
              <w:rPr>
                <w:color w:val="000000"/>
              </w:rPr>
              <w:t>to ensure equity in the delivery of special education services.  Cesar D’Agord from the National Center for Systemic Improvement</w:t>
            </w:r>
            <w:r w:rsidR="00D907BC">
              <w:rPr>
                <w:color w:val="000000"/>
              </w:rPr>
              <w:t xml:space="preserve">, began his presentation by sharing with new members that he has been working with Hawaii since 2006.  The new IDEA requirements were </w:t>
            </w:r>
            <w:r w:rsidR="00171B9A">
              <w:rPr>
                <w:color w:val="000000"/>
              </w:rPr>
              <w:t xml:space="preserve">developed after a Government Accountability Office report in 2013 found that IDEA’s intent to maintain equity in identification, placement and discipline had been hampered by allowing states too much flexibility in calculating disproportionality of ethnic groups and racial groups.  U.S. DOE followed up on the GAO recommendation to develop a standard approach for defining significant disproportionality to be used by all states.  </w:t>
            </w:r>
            <w:r w:rsidR="00FC106E">
              <w:rPr>
                <w:color w:val="000000"/>
              </w:rPr>
              <w:t>SEAC’s advice is being sought on 1) a risk ratio threshhold, 2) a reasonable minimum cell size, 3) a reasonable minimum n-size, and 4) a standard for measuring reasonable progress.</w:t>
            </w:r>
          </w:p>
        </w:tc>
        <w:tc>
          <w:tcPr>
            <w:tcW w:w="2700" w:type="dxa"/>
            <w:tcBorders>
              <w:top w:val="single" w:sz="6" w:space="0" w:color="auto"/>
              <w:left w:val="single" w:sz="6" w:space="0" w:color="auto"/>
              <w:bottom w:val="single" w:sz="6" w:space="0" w:color="auto"/>
              <w:right w:val="single" w:sz="6" w:space="0" w:color="auto"/>
            </w:tcBorders>
          </w:tcPr>
          <w:p w14:paraId="2084C876" w14:textId="3AE942C3" w:rsidR="00D64C5D" w:rsidRPr="009559C2" w:rsidRDefault="00E614CC" w:rsidP="00D907BC">
            <w:pPr>
              <w:rPr>
                <w:color w:val="000000"/>
              </w:rPr>
            </w:pPr>
            <w:r>
              <w:rPr>
                <w:color w:val="000000"/>
              </w:rPr>
              <w:t xml:space="preserve">Cesar provided a one page explanation of the Equity in IDEA requirements for calculating Significant Proportionality. </w:t>
            </w:r>
            <w:r w:rsidR="006A7CE9">
              <w:rPr>
                <w:color w:val="000000"/>
              </w:rPr>
              <w:t xml:space="preserve">He </w:t>
            </w:r>
            <w:r w:rsidR="00D907BC">
              <w:rPr>
                <w:color w:val="000000"/>
              </w:rPr>
              <w:t>will provide a copy</w:t>
            </w:r>
            <w:r>
              <w:rPr>
                <w:color w:val="000000"/>
              </w:rPr>
              <w:t xml:space="preserve"> of his powerpoint presentation at a later date.</w:t>
            </w:r>
          </w:p>
        </w:tc>
      </w:tr>
    </w:tbl>
    <w:p w14:paraId="40C39631" w14:textId="77777777" w:rsidR="00486C82" w:rsidRPr="009559C2" w:rsidRDefault="000B4FD7" w:rsidP="00486C82">
      <w:pPr>
        <w:rPr>
          <w:color w:val="000000"/>
        </w:rPr>
      </w:pPr>
      <w:r w:rsidRPr="009559C2">
        <w:rPr>
          <w:color w:val="000000"/>
        </w:rPr>
        <w:br w:type="page"/>
      </w:r>
      <w:r w:rsidR="00486C82" w:rsidRPr="009559C2">
        <w:rPr>
          <w:color w:val="000000"/>
        </w:rPr>
        <w:lastRenderedPageBreak/>
        <w:t>SEAC Minutes</w:t>
      </w:r>
    </w:p>
    <w:p w14:paraId="2A65A899" w14:textId="77777777" w:rsidR="006A7CE9" w:rsidRPr="009559C2" w:rsidRDefault="006A7CE9" w:rsidP="006A7CE9">
      <w:pPr>
        <w:rPr>
          <w:color w:val="000000"/>
        </w:rPr>
      </w:pPr>
      <w:r>
        <w:rPr>
          <w:color w:val="000000"/>
        </w:rPr>
        <w:t>January 12, 2018</w:t>
      </w:r>
    </w:p>
    <w:p w14:paraId="1901C469" w14:textId="77777777" w:rsidR="00486C82" w:rsidRPr="009559C2" w:rsidRDefault="00486C82" w:rsidP="00486C82">
      <w:pPr>
        <w:rPr>
          <w:color w:val="000000"/>
        </w:rPr>
      </w:pPr>
      <w:r w:rsidRPr="009559C2">
        <w:rPr>
          <w:color w:val="000000"/>
        </w:rPr>
        <w:t>Page 3</w:t>
      </w:r>
    </w:p>
    <w:p w14:paraId="73D8A6EA" w14:textId="77777777" w:rsidR="000B4FD7" w:rsidRPr="009559C2" w:rsidRDefault="000B4FD7">
      <w:pPr>
        <w:rPr>
          <w:color w:val="000000"/>
        </w:rPr>
      </w:pPr>
    </w:p>
    <w:tbl>
      <w:tblPr>
        <w:tblW w:w="13220" w:type="dxa"/>
        <w:tblLayout w:type="fixed"/>
        <w:tblCellMar>
          <w:left w:w="80" w:type="dxa"/>
          <w:right w:w="80" w:type="dxa"/>
        </w:tblCellMar>
        <w:tblLook w:val="0000" w:firstRow="0" w:lastRow="0" w:firstColumn="0" w:lastColumn="0" w:noHBand="0" w:noVBand="0"/>
      </w:tblPr>
      <w:tblGrid>
        <w:gridCol w:w="2780"/>
        <w:gridCol w:w="7740"/>
        <w:gridCol w:w="2700"/>
      </w:tblGrid>
      <w:tr w:rsidR="001F59BC" w:rsidRPr="009559C2" w14:paraId="2201C442" w14:textId="77777777" w:rsidTr="003E5E8A">
        <w:tc>
          <w:tcPr>
            <w:tcW w:w="2780" w:type="dxa"/>
            <w:tcBorders>
              <w:top w:val="single" w:sz="6" w:space="0" w:color="auto"/>
              <w:left w:val="single" w:sz="6" w:space="0" w:color="auto"/>
              <w:bottom w:val="single" w:sz="6" w:space="0" w:color="auto"/>
              <w:right w:val="single" w:sz="6" w:space="0" w:color="auto"/>
            </w:tcBorders>
          </w:tcPr>
          <w:p w14:paraId="598856BE" w14:textId="77777777" w:rsidR="00737E38" w:rsidRPr="009559C2" w:rsidRDefault="006A7CE9" w:rsidP="00737E38">
            <w:pPr>
              <w:rPr>
                <w:b/>
                <w:color w:val="000000"/>
                <w:szCs w:val="24"/>
              </w:rPr>
            </w:pPr>
            <w:r>
              <w:rPr>
                <w:b/>
                <w:sz w:val="26"/>
                <w:szCs w:val="26"/>
              </w:rPr>
              <w:t>Presentation on Significant Disproportionality</w:t>
            </w:r>
            <w:r w:rsidRPr="009559C2">
              <w:rPr>
                <w:b/>
                <w:color w:val="000000"/>
                <w:szCs w:val="24"/>
              </w:rPr>
              <w:t xml:space="preserve"> </w:t>
            </w:r>
            <w:r w:rsidR="00737E38" w:rsidRPr="009559C2">
              <w:rPr>
                <w:b/>
                <w:color w:val="000000"/>
                <w:szCs w:val="24"/>
              </w:rPr>
              <w:t>(cont.)</w:t>
            </w:r>
          </w:p>
          <w:p w14:paraId="5E749B0D" w14:textId="77777777" w:rsidR="000B4FD7" w:rsidRPr="009559C2" w:rsidRDefault="000B4FD7" w:rsidP="00A445F1">
            <w:pPr>
              <w:rPr>
                <w:b/>
                <w:color w:val="000000"/>
                <w:szCs w:val="24"/>
              </w:rPr>
            </w:pPr>
          </w:p>
        </w:tc>
        <w:tc>
          <w:tcPr>
            <w:tcW w:w="7740" w:type="dxa"/>
            <w:tcBorders>
              <w:top w:val="single" w:sz="6" w:space="0" w:color="auto"/>
              <w:left w:val="single" w:sz="6" w:space="0" w:color="auto"/>
              <w:bottom w:val="single" w:sz="6" w:space="0" w:color="auto"/>
              <w:right w:val="single" w:sz="6" w:space="0" w:color="auto"/>
            </w:tcBorders>
          </w:tcPr>
          <w:p w14:paraId="58E4D4E5" w14:textId="5DC83B04" w:rsidR="001747CD" w:rsidRDefault="001747CD" w:rsidP="00737E38">
            <w:pPr>
              <w:tabs>
                <w:tab w:val="left" w:pos="752"/>
              </w:tabs>
              <w:ind w:left="10"/>
              <w:rPr>
                <w:color w:val="000000"/>
              </w:rPr>
            </w:pPr>
            <w:r w:rsidRPr="001747CD">
              <w:rPr>
                <w:color w:val="000000"/>
              </w:rPr>
              <w:t xml:space="preserve">Cesar </w:t>
            </w:r>
            <w:r>
              <w:rPr>
                <w:color w:val="000000"/>
              </w:rPr>
              <w:t>shared some of the general recommendations OSEP is making:</w:t>
            </w:r>
          </w:p>
          <w:p w14:paraId="658D02E2" w14:textId="71933070" w:rsidR="001747CD" w:rsidRDefault="001747CD" w:rsidP="001747CD">
            <w:pPr>
              <w:numPr>
                <w:ilvl w:val="0"/>
                <w:numId w:val="41"/>
              </w:numPr>
              <w:tabs>
                <w:tab w:val="left" w:pos="288"/>
                <w:tab w:val="left" w:pos="605"/>
                <w:tab w:val="left" w:pos="752"/>
              </w:tabs>
              <w:rPr>
                <w:color w:val="000000"/>
              </w:rPr>
            </w:pPr>
            <w:r>
              <w:rPr>
                <w:color w:val="000000"/>
              </w:rPr>
              <w:t>Use 10 for a minimum cell size.</w:t>
            </w:r>
          </w:p>
          <w:p w14:paraId="431E8733" w14:textId="42E31006" w:rsidR="001747CD" w:rsidRDefault="001747CD" w:rsidP="001747CD">
            <w:pPr>
              <w:numPr>
                <w:ilvl w:val="0"/>
                <w:numId w:val="41"/>
              </w:numPr>
              <w:tabs>
                <w:tab w:val="left" w:pos="288"/>
                <w:tab w:val="left" w:pos="605"/>
                <w:tab w:val="left" w:pos="752"/>
              </w:tabs>
              <w:rPr>
                <w:color w:val="000000"/>
              </w:rPr>
            </w:pPr>
            <w:r>
              <w:rPr>
                <w:color w:val="000000"/>
              </w:rPr>
              <w:t>Use 30 as a minimum n-size.</w:t>
            </w:r>
          </w:p>
          <w:p w14:paraId="52EC7A8F" w14:textId="59C49EB8" w:rsidR="001747CD" w:rsidRDefault="001747CD" w:rsidP="001747CD">
            <w:pPr>
              <w:numPr>
                <w:ilvl w:val="0"/>
                <w:numId w:val="41"/>
              </w:numPr>
              <w:tabs>
                <w:tab w:val="left" w:pos="288"/>
                <w:tab w:val="left" w:pos="605"/>
                <w:tab w:val="left" w:pos="752"/>
              </w:tabs>
              <w:rPr>
                <w:color w:val="000000"/>
              </w:rPr>
            </w:pPr>
            <w:r>
              <w:rPr>
                <w:color w:val="000000"/>
              </w:rPr>
              <w:t>Use 3.0 or 3.5 as a risk ratio threshold.</w:t>
            </w:r>
          </w:p>
          <w:p w14:paraId="73123C21" w14:textId="11D4FC29" w:rsidR="00B26D86" w:rsidRPr="001747CD" w:rsidRDefault="00B26D86" w:rsidP="00B26D86">
            <w:pPr>
              <w:tabs>
                <w:tab w:val="left" w:pos="288"/>
                <w:tab w:val="left" w:pos="605"/>
                <w:tab w:val="left" w:pos="752"/>
              </w:tabs>
              <w:ind w:left="10"/>
              <w:rPr>
                <w:color w:val="000000"/>
              </w:rPr>
            </w:pPr>
            <w:r>
              <w:rPr>
                <w:color w:val="000000"/>
              </w:rPr>
              <w:t>He illustrated how cell sizes, n-sizes and risk ratios are calculated using data for demonstration purposes only.</w:t>
            </w:r>
          </w:p>
          <w:p w14:paraId="3A6D2E5F" w14:textId="77777777" w:rsidR="00737E38" w:rsidRPr="009559C2" w:rsidRDefault="00737E38" w:rsidP="00737E38">
            <w:pPr>
              <w:tabs>
                <w:tab w:val="left" w:pos="752"/>
              </w:tabs>
              <w:ind w:left="10"/>
              <w:rPr>
                <w:color w:val="000000"/>
                <w:u w:val="single"/>
              </w:rPr>
            </w:pPr>
            <w:r w:rsidRPr="009559C2">
              <w:rPr>
                <w:color w:val="000000"/>
                <w:u w:val="single"/>
              </w:rPr>
              <w:t>Comments/questions from members and guests</w:t>
            </w:r>
            <w:r w:rsidR="00486C82" w:rsidRPr="009559C2">
              <w:rPr>
                <w:color w:val="000000"/>
                <w:u w:val="single"/>
              </w:rPr>
              <w:t xml:space="preserve"> </w:t>
            </w:r>
          </w:p>
          <w:p w14:paraId="0998B487" w14:textId="77777777" w:rsidR="00F14CDE" w:rsidRDefault="00E128DE" w:rsidP="00E128DE">
            <w:pPr>
              <w:tabs>
                <w:tab w:val="left" w:pos="752"/>
              </w:tabs>
              <w:ind w:left="10"/>
              <w:rPr>
                <w:color w:val="000000"/>
              </w:rPr>
            </w:pPr>
            <w:r>
              <w:rPr>
                <w:color w:val="000000"/>
              </w:rPr>
              <w:t xml:space="preserve">Q. Does the fact that Hawaii’s ESSA plan has already set a minimum n-size of 20 for accountability influence the selection of an n-size for </w:t>
            </w:r>
            <w:r w:rsidR="00486C82" w:rsidRPr="009559C2">
              <w:rPr>
                <w:color w:val="000000"/>
              </w:rPr>
              <w:t xml:space="preserve"> </w:t>
            </w:r>
            <w:r>
              <w:rPr>
                <w:color w:val="000000"/>
              </w:rPr>
              <w:t>significant disportionality purposes?  A. Not necessarily.</w:t>
            </w:r>
          </w:p>
          <w:p w14:paraId="4252537E" w14:textId="77777777" w:rsidR="00E128DE" w:rsidRDefault="00E128DE" w:rsidP="00E128DE">
            <w:pPr>
              <w:tabs>
                <w:tab w:val="left" w:pos="752"/>
              </w:tabs>
              <w:ind w:left="10"/>
              <w:rPr>
                <w:color w:val="000000"/>
              </w:rPr>
            </w:pPr>
            <w:r>
              <w:rPr>
                <w:color w:val="000000"/>
              </w:rPr>
              <w:t xml:space="preserve">Q. If we should find Micronesian students have more suspensions than other ethnic groups, would those results be lost by folding them into the large  federal category of Asian students?  A. (Christina) A federal consequence for Hawaii might just be a review.  Hi is exempt from having to use 15% of our total IDEA funds on comprehensive coordinated early intervening services (CCEIS) because it is a single district entity.  A. (Cesar) </w:t>
            </w:r>
            <w:r w:rsidR="00740CD1">
              <w:rPr>
                <w:color w:val="000000"/>
              </w:rPr>
              <w:t>You can use this kind of data to set state policies.</w:t>
            </w:r>
          </w:p>
          <w:p w14:paraId="6B59E84E" w14:textId="77777777" w:rsidR="00740CD1" w:rsidRDefault="00740CD1" w:rsidP="00E128DE">
            <w:pPr>
              <w:tabs>
                <w:tab w:val="left" w:pos="752"/>
              </w:tabs>
              <w:ind w:left="10"/>
              <w:rPr>
                <w:color w:val="000000"/>
              </w:rPr>
            </w:pPr>
            <w:r>
              <w:rPr>
                <w:color w:val="000000"/>
              </w:rPr>
              <w:t>Q. Do you know who commissioned the GAO report?  There seemed to be a national awareness that some groups were overrepresented in identification (like black students) but states were only reporting tiny incidences of significant disproportionality.  A. I’m not sure who commissioned the report, but OSEP asked me to help analyze data to come up with some standardized methodology.  I found that Hawaii is not bad at all compared to many states.</w:t>
            </w:r>
          </w:p>
          <w:p w14:paraId="7331E8E0" w14:textId="77777777" w:rsidR="00740CD1" w:rsidRDefault="00740CD1" w:rsidP="00E128DE">
            <w:pPr>
              <w:tabs>
                <w:tab w:val="left" w:pos="752"/>
              </w:tabs>
              <w:ind w:left="10"/>
              <w:rPr>
                <w:color w:val="000000"/>
              </w:rPr>
            </w:pPr>
            <w:r>
              <w:rPr>
                <w:color w:val="000000"/>
              </w:rPr>
              <w:t>Q. If Hawaii wanted to do a similar report, would that cost additional money (for instance, if we looked at each complex area for ethnic or racial disparities)?  A.  That’s beyond the scope of this conversation.</w:t>
            </w:r>
          </w:p>
          <w:p w14:paraId="5CBFD2FB" w14:textId="77777777" w:rsidR="00740CD1" w:rsidRDefault="00740CD1" w:rsidP="00E128DE">
            <w:pPr>
              <w:tabs>
                <w:tab w:val="left" w:pos="752"/>
              </w:tabs>
              <w:ind w:left="10"/>
              <w:rPr>
                <w:color w:val="000000"/>
              </w:rPr>
            </w:pPr>
            <w:r>
              <w:rPr>
                <w:color w:val="000000"/>
              </w:rPr>
              <w:t xml:space="preserve">Q. Using the national categories, would a person who is part Hawaiian be considered </w:t>
            </w:r>
            <w:r w:rsidR="00D52E17" w:rsidRPr="00D52E17">
              <w:rPr>
                <w:i/>
                <w:color w:val="000000"/>
              </w:rPr>
              <w:t>Hawaiian and Pacific Islander</w:t>
            </w:r>
            <w:r w:rsidR="00D52E17">
              <w:rPr>
                <w:color w:val="000000"/>
              </w:rPr>
              <w:t xml:space="preserve"> or </w:t>
            </w:r>
            <w:r w:rsidR="00D52E17" w:rsidRPr="00D52E17">
              <w:rPr>
                <w:i/>
                <w:color w:val="000000"/>
              </w:rPr>
              <w:t>two or more</w:t>
            </w:r>
            <w:r w:rsidR="00D52E17">
              <w:rPr>
                <w:color w:val="000000"/>
              </w:rPr>
              <w:t>?  A.  I’m not sure as the individual self-reports, but the guidance on Hispanic ethnicity is that if you are part-Hispanic, you always check the Hispanic category box.</w:t>
            </w:r>
          </w:p>
          <w:p w14:paraId="1D531F92" w14:textId="0B8267B8" w:rsidR="00E128DE" w:rsidRPr="00B26D86" w:rsidRDefault="001747CD" w:rsidP="00B26D86">
            <w:pPr>
              <w:tabs>
                <w:tab w:val="left" w:pos="752"/>
              </w:tabs>
              <w:ind w:left="10"/>
              <w:rPr>
                <w:color w:val="000000"/>
              </w:rPr>
            </w:pPr>
            <w:r>
              <w:rPr>
                <w:color w:val="000000"/>
              </w:rPr>
              <w:t xml:space="preserve">Q. How important is the process of reporting ethnicity going to affect the results you want?  If when I check off ethnicity on my grandchild’s form, </w:t>
            </w:r>
          </w:p>
        </w:tc>
        <w:tc>
          <w:tcPr>
            <w:tcW w:w="2700" w:type="dxa"/>
            <w:tcBorders>
              <w:top w:val="single" w:sz="6" w:space="0" w:color="auto"/>
              <w:left w:val="single" w:sz="6" w:space="0" w:color="auto"/>
              <w:bottom w:val="single" w:sz="6" w:space="0" w:color="auto"/>
              <w:right w:val="single" w:sz="6" w:space="0" w:color="auto"/>
            </w:tcBorders>
          </w:tcPr>
          <w:p w14:paraId="18EEF38A" w14:textId="77777777" w:rsidR="000B4FD7" w:rsidRPr="009559C2" w:rsidRDefault="000B4FD7" w:rsidP="001C1710">
            <w:pPr>
              <w:rPr>
                <w:color w:val="000000"/>
              </w:rPr>
            </w:pPr>
          </w:p>
        </w:tc>
      </w:tr>
    </w:tbl>
    <w:p w14:paraId="38D2EAA0" w14:textId="5526A853" w:rsidR="00F060AB" w:rsidRPr="009559C2" w:rsidRDefault="00F060AB" w:rsidP="00F060AB">
      <w:pPr>
        <w:rPr>
          <w:color w:val="000000"/>
        </w:rPr>
      </w:pPr>
      <w:r w:rsidRPr="009559C2">
        <w:rPr>
          <w:color w:val="000000"/>
        </w:rPr>
        <w:br w:type="page"/>
      </w:r>
      <w:r w:rsidRPr="009559C2">
        <w:rPr>
          <w:color w:val="000000"/>
        </w:rPr>
        <w:lastRenderedPageBreak/>
        <w:t>SEAC Minutes</w:t>
      </w:r>
    </w:p>
    <w:p w14:paraId="0E7FBD04" w14:textId="77777777" w:rsidR="006A7CE9" w:rsidRPr="009559C2" w:rsidRDefault="006A7CE9" w:rsidP="006A7CE9">
      <w:pPr>
        <w:rPr>
          <w:color w:val="000000"/>
        </w:rPr>
      </w:pPr>
      <w:r>
        <w:rPr>
          <w:color w:val="000000"/>
        </w:rPr>
        <w:t>January 12, 2018</w:t>
      </w:r>
    </w:p>
    <w:p w14:paraId="1DDC2938" w14:textId="58759051" w:rsidR="0000175A" w:rsidRPr="009559C2" w:rsidRDefault="00F060AB">
      <w:pPr>
        <w:rPr>
          <w:color w:val="000000"/>
        </w:rPr>
      </w:pPr>
      <w:r w:rsidRPr="009559C2">
        <w:rPr>
          <w:color w:val="000000"/>
        </w:rPr>
        <w:t xml:space="preserve">Page </w:t>
      </w:r>
      <w:r w:rsidR="00486C82" w:rsidRPr="009559C2">
        <w:rPr>
          <w:color w:val="000000"/>
        </w:rPr>
        <w:t>4</w:t>
      </w:r>
    </w:p>
    <w:tbl>
      <w:tblPr>
        <w:tblW w:w="13220" w:type="dxa"/>
        <w:tblLayout w:type="fixed"/>
        <w:tblCellMar>
          <w:left w:w="80" w:type="dxa"/>
          <w:right w:w="80" w:type="dxa"/>
        </w:tblCellMar>
        <w:tblLook w:val="0000" w:firstRow="0" w:lastRow="0" w:firstColumn="0" w:lastColumn="0" w:noHBand="0" w:noVBand="0"/>
      </w:tblPr>
      <w:tblGrid>
        <w:gridCol w:w="2780"/>
        <w:gridCol w:w="7740"/>
        <w:gridCol w:w="2700"/>
      </w:tblGrid>
      <w:tr w:rsidR="001F59BC" w:rsidRPr="009559C2" w14:paraId="64900446" w14:textId="77777777" w:rsidTr="003E5E8A">
        <w:tc>
          <w:tcPr>
            <w:tcW w:w="2780" w:type="dxa"/>
            <w:tcBorders>
              <w:top w:val="single" w:sz="6" w:space="0" w:color="auto"/>
              <w:left w:val="single" w:sz="6" w:space="0" w:color="auto"/>
              <w:bottom w:val="single" w:sz="6" w:space="0" w:color="auto"/>
              <w:right w:val="single" w:sz="6" w:space="0" w:color="auto"/>
            </w:tcBorders>
          </w:tcPr>
          <w:p w14:paraId="70B2AD76" w14:textId="77777777" w:rsidR="00B26D86" w:rsidRPr="009559C2" w:rsidRDefault="00B26D86" w:rsidP="00B26D86">
            <w:pPr>
              <w:rPr>
                <w:b/>
                <w:color w:val="000000"/>
                <w:szCs w:val="24"/>
              </w:rPr>
            </w:pPr>
            <w:r>
              <w:rPr>
                <w:b/>
                <w:sz w:val="26"/>
                <w:szCs w:val="26"/>
              </w:rPr>
              <w:t>Presentation on Significant Disproportionality</w:t>
            </w:r>
            <w:r w:rsidRPr="009559C2">
              <w:rPr>
                <w:b/>
                <w:color w:val="000000"/>
                <w:szCs w:val="24"/>
              </w:rPr>
              <w:t xml:space="preserve"> (cont.)</w:t>
            </w:r>
          </w:p>
          <w:p w14:paraId="22260DE8" w14:textId="77777777" w:rsidR="00F060AB" w:rsidRPr="009559C2" w:rsidRDefault="00F060AB" w:rsidP="00F060AB">
            <w:pPr>
              <w:rPr>
                <w:b/>
                <w:color w:val="000000"/>
                <w:szCs w:val="24"/>
              </w:rPr>
            </w:pPr>
          </w:p>
          <w:p w14:paraId="28F0387A" w14:textId="77777777" w:rsidR="0000175A" w:rsidRPr="009559C2" w:rsidRDefault="0000175A" w:rsidP="005B41E9">
            <w:pPr>
              <w:widowControl w:val="0"/>
              <w:rPr>
                <w:b/>
                <w:color w:val="000000"/>
              </w:rPr>
            </w:pPr>
          </w:p>
        </w:tc>
        <w:tc>
          <w:tcPr>
            <w:tcW w:w="7740" w:type="dxa"/>
            <w:tcBorders>
              <w:top w:val="single" w:sz="6" w:space="0" w:color="auto"/>
              <w:left w:val="single" w:sz="6" w:space="0" w:color="auto"/>
              <w:bottom w:val="single" w:sz="6" w:space="0" w:color="auto"/>
              <w:right w:val="single" w:sz="6" w:space="0" w:color="auto"/>
            </w:tcBorders>
          </w:tcPr>
          <w:p w14:paraId="04821F6A" w14:textId="0EFBCD86" w:rsidR="00B26D86" w:rsidRPr="009559C2" w:rsidRDefault="00B26D86" w:rsidP="00B26D86">
            <w:pPr>
              <w:tabs>
                <w:tab w:val="left" w:pos="752"/>
              </w:tabs>
              <w:ind w:left="10"/>
              <w:rPr>
                <w:color w:val="000000"/>
                <w:u w:val="single"/>
              </w:rPr>
            </w:pPr>
            <w:r w:rsidRPr="009559C2">
              <w:rPr>
                <w:color w:val="000000"/>
                <w:u w:val="single"/>
              </w:rPr>
              <w:t xml:space="preserve">Comments/questions from members and guests </w:t>
            </w:r>
            <w:r>
              <w:rPr>
                <w:color w:val="000000"/>
                <w:u w:val="single"/>
              </w:rPr>
              <w:t>(cont.)</w:t>
            </w:r>
          </w:p>
          <w:p w14:paraId="622553BB" w14:textId="6400BDE8" w:rsidR="00B26D86" w:rsidRDefault="00B26D86" w:rsidP="00B26D86">
            <w:pPr>
              <w:tabs>
                <w:tab w:val="left" w:pos="752"/>
              </w:tabs>
              <w:ind w:left="10"/>
              <w:rPr>
                <w:color w:val="000000"/>
              </w:rPr>
            </w:pPr>
            <w:r>
              <w:rPr>
                <w:color w:val="000000"/>
              </w:rPr>
              <w:t>should I be choosing the ethnic group you child identifies with, or do I go by blood quantum?  A. It is up to parents to choose.  Parents can identify a primary ethnicity on Hawaii’s form.</w:t>
            </w:r>
          </w:p>
          <w:p w14:paraId="4D0A1276" w14:textId="77777777" w:rsidR="00B26D86" w:rsidRDefault="00B26D86" w:rsidP="00B26D86">
            <w:pPr>
              <w:tabs>
                <w:tab w:val="left" w:pos="752"/>
              </w:tabs>
              <w:ind w:left="10"/>
              <w:rPr>
                <w:color w:val="000000"/>
              </w:rPr>
            </w:pPr>
            <w:r>
              <w:rPr>
                <w:color w:val="000000"/>
              </w:rPr>
              <w:t>C.  Currently ethnicity is just a check box on the enrollment form.  If we want to get better data, we might want to explain to parents how to optimally determine ethnicity.</w:t>
            </w:r>
          </w:p>
          <w:p w14:paraId="11B56980" w14:textId="252CBB27" w:rsidR="00B26D86" w:rsidRDefault="00B26D86" w:rsidP="00B26D86">
            <w:pPr>
              <w:tabs>
                <w:tab w:val="left" w:pos="752"/>
              </w:tabs>
              <w:ind w:left="10"/>
              <w:rPr>
                <w:color w:val="000000"/>
              </w:rPr>
            </w:pPr>
            <w:r>
              <w:rPr>
                <w:color w:val="000000"/>
              </w:rPr>
              <w:t xml:space="preserve">Q. </w:t>
            </w:r>
            <w:r w:rsidR="00834D81">
              <w:rPr>
                <w:color w:val="000000"/>
              </w:rPr>
              <w:t xml:space="preserve"> Say your risk ratio is going down but it’s still very high.  What should you say about whether significant disproportionality is present?  A. As a state, you can note that the number is reducing, but if it is really high, find the risk above the accesptable level.</w:t>
            </w:r>
          </w:p>
          <w:p w14:paraId="40147CF8" w14:textId="49FE4666" w:rsidR="00834D81" w:rsidRDefault="00834D81" w:rsidP="00B26D86">
            <w:pPr>
              <w:tabs>
                <w:tab w:val="left" w:pos="752"/>
              </w:tabs>
              <w:ind w:left="10"/>
              <w:rPr>
                <w:color w:val="000000"/>
              </w:rPr>
            </w:pPr>
            <w:r>
              <w:rPr>
                <w:color w:val="000000"/>
              </w:rPr>
              <w:t>Q.  How about when the levels haven’t hit the risk ratio threshold but they are climbing year to year and are getting closer to the threshold?  A.  You could decide, as California has done, to flag those results for intervention as a preventative measure.</w:t>
            </w:r>
            <w:r w:rsidR="00DF2C78">
              <w:rPr>
                <w:color w:val="000000"/>
              </w:rPr>
              <w:t xml:space="preserve">  Generally, the threshold is applicable after exceeding for three consecutive years, so as to prevent problems regarding the fluctuation of data.</w:t>
            </w:r>
          </w:p>
          <w:p w14:paraId="3949665C" w14:textId="77777777" w:rsidR="00DF2C78" w:rsidRDefault="00635F0C" w:rsidP="00635F0C">
            <w:pPr>
              <w:tabs>
                <w:tab w:val="left" w:pos="752"/>
              </w:tabs>
              <w:rPr>
                <w:color w:val="000000"/>
              </w:rPr>
            </w:pPr>
            <w:r>
              <w:rPr>
                <w:color w:val="000000"/>
              </w:rPr>
              <w:t xml:space="preserve">SEAC </w:t>
            </w:r>
          </w:p>
          <w:p w14:paraId="0EF42CB2" w14:textId="4E4E6558" w:rsidR="00635F0C" w:rsidRDefault="00635F0C" w:rsidP="00635F0C">
            <w:pPr>
              <w:tabs>
                <w:tab w:val="left" w:pos="752"/>
              </w:tabs>
              <w:rPr>
                <w:color w:val="000000"/>
              </w:rPr>
            </w:pPr>
            <w:r>
              <w:rPr>
                <w:color w:val="000000"/>
              </w:rPr>
              <w:t>Q. For the risk ratio, in the example you showed, it was for students with IEPs.  Would the numerator include risk ratios for SLD and Autism or the whole group?  A. You can have one standard measure, or a state can have 14 different measures.</w:t>
            </w:r>
          </w:p>
          <w:p w14:paraId="4211C8B5" w14:textId="77777777" w:rsidR="00635F0C" w:rsidRDefault="00635F0C" w:rsidP="00635F0C">
            <w:pPr>
              <w:tabs>
                <w:tab w:val="left" w:pos="752"/>
              </w:tabs>
              <w:rPr>
                <w:color w:val="000000"/>
              </w:rPr>
            </w:pPr>
            <w:r>
              <w:rPr>
                <w:color w:val="000000"/>
              </w:rPr>
              <w:t>Q. If we are setting a risk ratio threshold, would it be for all students with IEPs or do we dig down into all fourteen categories?  A. Most groups will fit using a minimum cell size of 10 and a minimim n-size of 3o.  The only category that doesn’t work is “in-school suspensions for more than 10 days.”</w:t>
            </w:r>
          </w:p>
          <w:p w14:paraId="18B27D27" w14:textId="4C9AC9B3" w:rsidR="00FE4A85" w:rsidRDefault="00FE4A85" w:rsidP="00635F0C">
            <w:pPr>
              <w:tabs>
                <w:tab w:val="left" w:pos="752"/>
              </w:tabs>
              <w:rPr>
                <w:color w:val="000000"/>
              </w:rPr>
            </w:pPr>
            <w:r>
              <w:rPr>
                <w:color w:val="000000"/>
              </w:rPr>
              <w:t>Q. Is Hawaii the only unitary SEA?  A.  The District of Columbia used to be and some of the U. S. territories are.  Every state is different in their ethnic composition.  In the Southeast, black students are more likely to be represented as Intellectually Disabled and in the Northeast, they are more likely to be identified as having an Emotional Disability.</w:t>
            </w:r>
          </w:p>
          <w:p w14:paraId="277DCF48" w14:textId="0350F221" w:rsidR="00635F0C" w:rsidRDefault="00635F0C" w:rsidP="00635F0C">
            <w:pPr>
              <w:tabs>
                <w:tab w:val="left" w:pos="752"/>
              </w:tabs>
              <w:rPr>
                <w:color w:val="000000"/>
                <w:u w:val="single"/>
              </w:rPr>
            </w:pPr>
            <w:r w:rsidRPr="00635F0C">
              <w:rPr>
                <w:color w:val="000000"/>
                <w:u w:val="single"/>
              </w:rPr>
              <w:t xml:space="preserve">SEAC’s preliminary advice </w:t>
            </w:r>
          </w:p>
          <w:p w14:paraId="22B366D4" w14:textId="0816EE9F" w:rsidR="00AF163B" w:rsidRPr="009559C2" w:rsidRDefault="00FE4A85" w:rsidP="00FE4A85">
            <w:pPr>
              <w:tabs>
                <w:tab w:val="left" w:pos="752"/>
              </w:tabs>
              <w:rPr>
                <w:color w:val="000000"/>
              </w:rPr>
            </w:pPr>
            <w:r>
              <w:rPr>
                <w:color w:val="000000"/>
              </w:rPr>
              <w:t>Member suggestions for the March discussion included</w:t>
            </w:r>
            <w:r w:rsidR="00635F0C">
              <w:rPr>
                <w:color w:val="000000"/>
              </w:rPr>
              <w:t xml:space="preserve"> t</w:t>
            </w:r>
            <w:r>
              <w:rPr>
                <w:color w:val="000000"/>
              </w:rPr>
              <w:t>he following:</w:t>
            </w:r>
          </w:p>
        </w:tc>
        <w:tc>
          <w:tcPr>
            <w:tcW w:w="2700" w:type="dxa"/>
            <w:tcBorders>
              <w:top w:val="single" w:sz="6" w:space="0" w:color="auto"/>
              <w:left w:val="single" w:sz="6" w:space="0" w:color="auto"/>
              <w:bottom w:val="single" w:sz="6" w:space="0" w:color="auto"/>
              <w:right w:val="single" w:sz="6" w:space="0" w:color="auto"/>
            </w:tcBorders>
          </w:tcPr>
          <w:p w14:paraId="577CA9EE" w14:textId="77777777" w:rsidR="0000175A" w:rsidRPr="009559C2" w:rsidRDefault="0000175A" w:rsidP="006F18A5">
            <w:pPr>
              <w:rPr>
                <w:color w:val="000000"/>
              </w:rPr>
            </w:pPr>
          </w:p>
        </w:tc>
      </w:tr>
    </w:tbl>
    <w:p w14:paraId="0400D217" w14:textId="59E357B9" w:rsidR="0000175A" w:rsidRPr="009559C2" w:rsidRDefault="0000175A">
      <w:pPr>
        <w:rPr>
          <w:color w:val="000000"/>
        </w:rPr>
      </w:pPr>
      <w:r w:rsidRPr="009559C2">
        <w:rPr>
          <w:color w:val="000000"/>
        </w:rPr>
        <w:br w:type="page"/>
      </w:r>
      <w:r w:rsidRPr="009559C2">
        <w:rPr>
          <w:color w:val="000000"/>
        </w:rPr>
        <w:lastRenderedPageBreak/>
        <w:t>SEAC Minutes</w:t>
      </w:r>
    </w:p>
    <w:p w14:paraId="2E887BF9" w14:textId="77777777" w:rsidR="006A7CE9" w:rsidRPr="009559C2" w:rsidRDefault="006A7CE9" w:rsidP="006A7CE9">
      <w:pPr>
        <w:rPr>
          <w:color w:val="000000"/>
        </w:rPr>
      </w:pPr>
      <w:r>
        <w:rPr>
          <w:color w:val="000000"/>
        </w:rPr>
        <w:t>January 12, 2018</w:t>
      </w:r>
    </w:p>
    <w:p w14:paraId="7AFE9E65" w14:textId="312E54E9" w:rsidR="002E73FC" w:rsidRPr="009559C2" w:rsidRDefault="0000175A">
      <w:pPr>
        <w:rPr>
          <w:color w:val="000000"/>
        </w:rPr>
      </w:pPr>
      <w:r w:rsidRPr="009559C2">
        <w:rPr>
          <w:color w:val="000000"/>
        </w:rPr>
        <w:t xml:space="preserve">Page </w:t>
      </w:r>
      <w:r w:rsidR="00486C82" w:rsidRPr="009559C2">
        <w:rPr>
          <w:color w:val="000000"/>
        </w:rPr>
        <w:t>5</w:t>
      </w:r>
      <w:bookmarkStart w:id="0" w:name="_GoBack"/>
      <w:bookmarkEnd w:id="0"/>
    </w:p>
    <w:tbl>
      <w:tblPr>
        <w:tblW w:w="13220" w:type="dxa"/>
        <w:tblLayout w:type="fixed"/>
        <w:tblCellMar>
          <w:left w:w="80" w:type="dxa"/>
          <w:right w:w="80" w:type="dxa"/>
        </w:tblCellMar>
        <w:tblLook w:val="0000" w:firstRow="0" w:lastRow="0" w:firstColumn="0" w:lastColumn="0" w:noHBand="0" w:noVBand="0"/>
      </w:tblPr>
      <w:tblGrid>
        <w:gridCol w:w="2780"/>
        <w:gridCol w:w="7560"/>
        <w:gridCol w:w="2880"/>
      </w:tblGrid>
      <w:tr w:rsidR="001F59BC" w:rsidRPr="009559C2" w14:paraId="275A70DA" w14:textId="77777777" w:rsidTr="001F59BC">
        <w:tc>
          <w:tcPr>
            <w:tcW w:w="2780" w:type="dxa"/>
            <w:tcBorders>
              <w:top w:val="single" w:sz="6" w:space="0" w:color="auto"/>
              <w:left w:val="single" w:sz="6" w:space="0" w:color="auto"/>
              <w:bottom w:val="single" w:sz="6" w:space="0" w:color="auto"/>
              <w:right w:val="single" w:sz="6" w:space="0" w:color="auto"/>
            </w:tcBorders>
          </w:tcPr>
          <w:p w14:paraId="150F939D" w14:textId="321B0501" w:rsidR="0000175A" w:rsidRPr="009559C2" w:rsidRDefault="00FE4A85" w:rsidP="006A7CE9">
            <w:pPr>
              <w:rPr>
                <w:b/>
                <w:color w:val="000000"/>
                <w:szCs w:val="24"/>
              </w:rPr>
            </w:pPr>
            <w:r>
              <w:rPr>
                <w:b/>
                <w:sz w:val="26"/>
                <w:szCs w:val="26"/>
              </w:rPr>
              <w:t>Presentation on Significant Disproportionality</w:t>
            </w:r>
            <w:r w:rsidRPr="009559C2">
              <w:rPr>
                <w:b/>
                <w:color w:val="000000"/>
                <w:szCs w:val="24"/>
              </w:rPr>
              <w:t xml:space="preserve"> (cont.)</w:t>
            </w:r>
          </w:p>
        </w:tc>
        <w:tc>
          <w:tcPr>
            <w:tcW w:w="7560" w:type="dxa"/>
            <w:tcBorders>
              <w:top w:val="single" w:sz="6" w:space="0" w:color="auto"/>
              <w:left w:val="single" w:sz="6" w:space="0" w:color="auto"/>
              <w:bottom w:val="single" w:sz="6" w:space="0" w:color="auto"/>
              <w:right w:val="single" w:sz="6" w:space="0" w:color="auto"/>
            </w:tcBorders>
          </w:tcPr>
          <w:p w14:paraId="0F022CC0" w14:textId="552AB7CF" w:rsidR="004F0C00" w:rsidRDefault="00DF038E" w:rsidP="00DF038E">
            <w:pPr>
              <w:tabs>
                <w:tab w:val="left" w:pos="507"/>
              </w:tabs>
              <w:ind w:left="280" w:hanging="180"/>
              <w:rPr>
                <w:color w:val="000000"/>
              </w:rPr>
            </w:pPr>
            <w:r>
              <w:rPr>
                <w:color w:val="000000"/>
              </w:rPr>
              <w:t xml:space="preserve">•  </w:t>
            </w:r>
            <w:r w:rsidR="00FE4A85">
              <w:rPr>
                <w:color w:val="000000"/>
              </w:rPr>
              <w:t xml:space="preserve">Provide some feedback on what other states are doing regarding the selection of a cell size and an n-size, so that we </w:t>
            </w:r>
            <w:r w:rsidR="00A57389">
              <w:rPr>
                <w:color w:val="000000"/>
              </w:rPr>
              <w:t>may have a bigger picture and some best pra</w:t>
            </w:r>
            <w:r w:rsidR="00FE4A85">
              <w:rPr>
                <w:color w:val="000000"/>
              </w:rPr>
              <w:t>ctice standards</w:t>
            </w:r>
            <w:r w:rsidR="00A57389">
              <w:rPr>
                <w:color w:val="000000"/>
              </w:rPr>
              <w:t>, if available</w:t>
            </w:r>
            <w:r w:rsidR="00FE4A85">
              <w:rPr>
                <w:color w:val="000000"/>
              </w:rPr>
              <w:t xml:space="preserve">.  </w:t>
            </w:r>
          </w:p>
          <w:p w14:paraId="4B6649A7" w14:textId="62DA67E6" w:rsidR="00FE4A85" w:rsidRDefault="00DF038E" w:rsidP="00DF038E">
            <w:pPr>
              <w:tabs>
                <w:tab w:val="left" w:pos="507"/>
              </w:tabs>
              <w:ind w:left="280" w:hanging="180"/>
              <w:rPr>
                <w:color w:val="000000"/>
              </w:rPr>
            </w:pPr>
            <w:r>
              <w:rPr>
                <w:color w:val="000000"/>
              </w:rPr>
              <w:t xml:space="preserve">•  </w:t>
            </w:r>
            <w:r w:rsidR="0020546A">
              <w:rPr>
                <w:color w:val="000000"/>
              </w:rPr>
              <w:t>Consider there to be risk</w:t>
            </w:r>
            <w:r w:rsidR="00A57389">
              <w:rPr>
                <w:color w:val="000000"/>
              </w:rPr>
              <w:t>,</w:t>
            </w:r>
            <w:r w:rsidR="0020546A">
              <w:rPr>
                <w:color w:val="000000"/>
              </w:rPr>
              <w:t xml:space="preserve"> if consecutive data sets are climbing upward and meeting the threshold.</w:t>
            </w:r>
          </w:p>
          <w:p w14:paraId="435D14A9" w14:textId="38172680" w:rsidR="0020546A" w:rsidRDefault="00DF038E" w:rsidP="00DF038E">
            <w:pPr>
              <w:tabs>
                <w:tab w:val="left" w:pos="507"/>
              </w:tabs>
              <w:ind w:left="280" w:hanging="180"/>
              <w:rPr>
                <w:color w:val="000000"/>
              </w:rPr>
            </w:pPr>
            <w:r>
              <w:rPr>
                <w:color w:val="000000"/>
              </w:rPr>
              <w:t xml:space="preserve">•  </w:t>
            </w:r>
            <w:r w:rsidR="0020546A">
              <w:rPr>
                <w:color w:val="000000"/>
              </w:rPr>
              <w:t>Consider</w:t>
            </w:r>
            <w:r w:rsidR="00A57389">
              <w:rPr>
                <w:color w:val="000000"/>
              </w:rPr>
              <w:t xml:space="preserve"> there to be</w:t>
            </w:r>
            <w:r w:rsidR="0020546A">
              <w:rPr>
                <w:color w:val="000000"/>
              </w:rPr>
              <w:t xml:space="preserve"> risk</w:t>
            </w:r>
            <w:r w:rsidR="00A57389">
              <w:rPr>
                <w:color w:val="000000"/>
              </w:rPr>
              <w:t>,</w:t>
            </w:r>
            <w:r w:rsidR="0020546A">
              <w:rPr>
                <w:color w:val="000000"/>
              </w:rPr>
              <w:t xml:space="preserve"> if data sets are moving downward but still exceed the risk ratio.</w:t>
            </w:r>
          </w:p>
          <w:p w14:paraId="3ED4D6DC" w14:textId="399EB819" w:rsidR="00DF038E" w:rsidRDefault="00DF038E" w:rsidP="00DF038E">
            <w:pPr>
              <w:tabs>
                <w:tab w:val="left" w:pos="507"/>
              </w:tabs>
              <w:ind w:left="280" w:hanging="180"/>
              <w:rPr>
                <w:color w:val="000000"/>
              </w:rPr>
            </w:pPr>
            <w:r>
              <w:rPr>
                <w:color w:val="000000"/>
              </w:rPr>
              <w:t>•  Provide some data examples using different n-sizes and and risk ratios, for example, an n-size of 20 vs. an n-size of 30; or a risk-ratio of 3 vs. a risk ratio of 3.5.</w:t>
            </w:r>
          </w:p>
          <w:p w14:paraId="20062571" w14:textId="35599499" w:rsidR="00091707" w:rsidRDefault="00091707" w:rsidP="00DF038E">
            <w:pPr>
              <w:tabs>
                <w:tab w:val="left" w:pos="507"/>
              </w:tabs>
              <w:ind w:left="280" w:hanging="180"/>
              <w:rPr>
                <w:color w:val="000000"/>
              </w:rPr>
            </w:pPr>
            <w:r>
              <w:rPr>
                <w:color w:val="000000"/>
              </w:rPr>
              <w:t xml:space="preserve">•  While we want to meet the IDEA requirements, we also want to meet our responsibility of capturing an accurate picture of Hawaii.  At some point </w:t>
            </w:r>
            <w:r w:rsidR="00A57389">
              <w:rPr>
                <w:color w:val="000000"/>
              </w:rPr>
              <w:t>we request a</w:t>
            </w:r>
            <w:r>
              <w:rPr>
                <w:color w:val="000000"/>
              </w:rPr>
              <w:t xml:space="preserve"> </w:t>
            </w:r>
            <w:r w:rsidR="00A57389">
              <w:rPr>
                <w:color w:val="000000"/>
              </w:rPr>
              <w:t xml:space="preserve">deeper </w:t>
            </w:r>
            <w:r>
              <w:rPr>
                <w:color w:val="000000"/>
              </w:rPr>
              <w:t xml:space="preserve">data </w:t>
            </w:r>
            <w:r w:rsidR="00A57389">
              <w:rPr>
                <w:color w:val="000000"/>
              </w:rPr>
              <w:t xml:space="preserve">dive </w:t>
            </w:r>
            <w:r>
              <w:rPr>
                <w:color w:val="000000"/>
              </w:rPr>
              <w:t>for each of Hawaii’s major ethnic categories to ensure that there is not</w:t>
            </w:r>
            <w:r w:rsidR="00A57389">
              <w:rPr>
                <w:color w:val="000000"/>
              </w:rPr>
              <w:t xml:space="preserve"> significant disproportionality.</w:t>
            </w:r>
          </w:p>
          <w:p w14:paraId="399605B4" w14:textId="5D037FE0" w:rsidR="00091707" w:rsidRDefault="00091707" w:rsidP="00DF038E">
            <w:pPr>
              <w:tabs>
                <w:tab w:val="left" w:pos="507"/>
              </w:tabs>
              <w:ind w:left="280" w:hanging="180"/>
              <w:rPr>
                <w:color w:val="000000"/>
              </w:rPr>
            </w:pPr>
            <w:r>
              <w:rPr>
                <w:color w:val="000000"/>
              </w:rPr>
              <w:t xml:space="preserve">•  </w:t>
            </w:r>
            <w:r w:rsidR="00267D82">
              <w:rPr>
                <w:color w:val="000000"/>
              </w:rPr>
              <w:t>In the future, survey how schools are inputting data, and provide a definition of what constitutes an in-school suspension.  There are some misunderstandings by school personnel that when a student has in-school support, it is not classified as an in-school suspension.</w:t>
            </w:r>
          </w:p>
          <w:p w14:paraId="119E9886" w14:textId="62E37D39" w:rsidR="0020546A" w:rsidRPr="00FE4A85" w:rsidRDefault="00267D82" w:rsidP="00A57389">
            <w:pPr>
              <w:tabs>
                <w:tab w:val="left" w:pos="507"/>
              </w:tabs>
              <w:ind w:left="280" w:hanging="180"/>
              <w:rPr>
                <w:color w:val="000000"/>
              </w:rPr>
            </w:pPr>
            <w:r>
              <w:rPr>
                <w:color w:val="000000"/>
              </w:rPr>
              <w:t>•  For the placement category of 40% or less in the general education classroom, distinguish which students are in a resource room and which are in fully-self contained classrooms</w:t>
            </w:r>
            <w:r w:rsidR="00A57389">
              <w:rPr>
                <w:color w:val="000000"/>
              </w:rPr>
              <w:t xml:space="preserve"> to better ascertain risk of SD</w:t>
            </w:r>
            <w:r>
              <w:rPr>
                <w:color w:val="000000"/>
              </w:rPr>
              <w:t>.</w:t>
            </w:r>
          </w:p>
        </w:tc>
        <w:tc>
          <w:tcPr>
            <w:tcW w:w="2880" w:type="dxa"/>
            <w:tcBorders>
              <w:top w:val="single" w:sz="6" w:space="0" w:color="auto"/>
              <w:left w:val="single" w:sz="6" w:space="0" w:color="auto"/>
              <w:bottom w:val="single" w:sz="6" w:space="0" w:color="auto"/>
              <w:right w:val="single" w:sz="6" w:space="0" w:color="auto"/>
            </w:tcBorders>
          </w:tcPr>
          <w:p w14:paraId="0C4DFFC9" w14:textId="77777777" w:rsidR="00AA4D2F" w:rsidRPr="009559C2" w:rsidRDefault="00AA4D2F">
            <w:pPr>
              <w:rPr>
                <w:color w:val="000000"/>
              </w:rPr>
            </w:pPr>
          </w:p>
        </w:tc>
      </w:tr>
      <w:tr w:rsidR="001F59BC" w:rsidRPr="009559C2" w14:paraId="62E02BA7" w14:textId="77777777" w:rsidTr="001F59BC">
        <w:tc>
          <w:tcPr>
            <w:tcW w:w="2780" w:type="dxa"/>
            <w:tcBorders>
              <w:top w:val="single" w:sz="6" w:space="0" w:color="auto"/>
              <w:left w:val="single" w:sz="6" w:space="0" w:color="auto"/>
              <w:bottom w:val="single" w:sz="6" w:space="0" w:color="auto"/>
              <w:right w:val="single" w:sz="6" w:space="0" w:color="auto"/>
            </w:tcBorders>
          </w:tcPr>
          <w:p w14:paraId="53A822D3" w14:textId="12CF9186" w:rsidR="00797A71" w:rsidRPr="009559C2" w:rsidRDefault="00267D82" w:rsidP="007E3516">
            <w:pPr>
              <w:rPr>
                <w:b/>
                <w:color w:val="000000"/>
                <w:szCs w:val="24"/>
              </w:rPr>
            </w:pPr>
            <w:r>
              <w:rPr>
                <w:b/>
                <w:color w:val="000000"/>
                <w:szCs w:val="24"/>
              </w:rPr>
              <w:t>Agenda Setting for the February and March Agendas</w:t>
            </w:r>
          </w:p>
        </w:tc>
        <w:tc>
          <w:tcPr>
            <w:tcW w:w="7560" w:type="dxa"/>
            <w:tcBorders>
              <w:top w:val="single" w:sz="6" w:space="0" w:color="auto"/>
              <w:left w:val="single" w:sz="6" w:space="0" w:color="auto"/>
              <w:bottom w:val="single" w:sz="6" w:space="0" w:color="auto"/>
              <w:right w:val="single" w:sz="6" w:space="0" w:color="auto"/>
            </w:tcBorders>
          </w:tcPr>
          <w:p w14:paraId="400E8F15" w14:textId="77777777" w:rsidR="005522B2" w:rsidRDefault="00267D82" w:rsidP="005522B2">
            <w:pPr>
              <w:tabs>
                <w:tab w:val="left" w:pos="507"/>
              </w:tabs>
              <w:rPr>
                <w:color w:val="000000"/>
              </w:rPr>
            </w:pPr>
            <w:r>
              <w:rPr>
                <w:color w:val="000000"/>
              </w:rPr>
              <w:t>Members set the following priorties for the agendas in February and March:</w:t>
            </w:r>
          </w:p>
          <w:p w14:paraId="6C2E38A9" w14:textId="77777777" w:rsidR="00267D82" w:rsidRDefault="00267D82" w:rsidP="005522B2">
            <w:pPr>
              <w:tabs>
                <w:tab w:val="left" w:pos="507"/>
              </w:tabs>
              <w:rPr>
                <w:color w:val="000000"/>
                <w:u w:val="single"/>
              </w:rPr>
            </w:pPr>
            <w:r w:rsidRPr="00182BA7">
              <w:rPr>
                <w:color w:val="000000"/>
                <w:u w:val="single"/>
              </w:rPr>
              <w:t>February 9, 2018</w:t>
            </w:r>
          </w:p>
          <w:p w14:paraId="0076D929" w14:textId="63D6430F" w:rsidR="00182BA7" w:rsidRDefault="00182BA7" w:rsidP="005522B2">
            <w:pPr>
              <w:tabs>
                <w:tab w:val="left" w:pos="507"/>
              </w:tabs>
              <w:rPr>
                <w:color w:val="000000"/>
              </w:rPr>
            </w:pPr>
            <w:r>
              <w:rPr>
                <w:color w:val="000000"/>
              </w:rPr>
              <w:t xml:space="preserve">  •  </w:t>
            </w:r>
            <w:r w:rsidRPr="00182BA7">
              <w:rPr>
                <w:color w:val="000000"/>
              </w:rPr>
              <w:t xml:space="preserve">DOE </w:t>
            </w:r>
            <w:r>
              <w:rPr>
                <w:color w:val="000000"/>
              </w:rPr>
              <w:t>Budget Discussion with Amy Kunz</w:t>
            </w:r>
          </w:p>
          <w:p w14:paraId="2DD78C3D" w14:textId="412BC851" w:rsidR="00182BA7" w:rsidRDefault="00182BA7" w:rsidP="005522B2">
            <w:pPr>
              <w:tabs>
                <w:tab w:val="left" w:pos="507"/>
              </w:tabs>
              <w:rPr>
                <w:color w:val="000000"/>
              </w:rPr>
            </w:pPr>
            <w:r>
              <w:rPr>
                <w:color w:val="000000"/>
              </w:rPr>
              <w:t xml:space="preserve">  •  Legislative Committee Report</w:t>
            </w:r>
          </w:p>
          <w:p w14:paraId="4C47EB5E" w14:textId="7E1D520E" w:rsidR="00A57389" w:rsidRDefault="00A57389" w:rsidP="005522B2">
            <w:pPr>
              <w:tabs>
                <w:tab w:val="left" w:pos="507"/>
              </w:tabs>
              <w:rPr>
                <w:color w:val="000000"/>
              </w:rPr>
            </w:pPr>
            <w:r>
              <w:rPr>
                <w:color w:val="000000"/>
              </w:rPr>
              <w:t xml:space="preserve">  •  Review of Tentative Transition Recommendations</w:t>
            </w:r>
          </w:p>
          <w:p w14:paraId="751A44CB" w14:textId="0BCE1DDB" w:rsidR="00182BA7" w:rsidRDefault="00182BA7" w:rsidP="005522B2">
            <w:pPr>
              <w:tabs>
                <w:tab w:val="left" w:pos="507"/>
              </w:tabs>
              <w:rPr>
                <w:color w:val="000000"/>
                <w:u w:val="single"/>
              </w:rPr>
            </w:pPr>
            <w:r w:rsidRPr="00182BA7">
              <w:rPr>
                <w:color w:val="000000"/>
                <w:u w:val="single"/>
              </w:rPr>
              <w:t>March 9, 2018</w:t>
            </w:r>
          </w:p>
          <w:p w14:paraId="5A1E78F8" w14:textId="1FB1292A" w:rsidR="00182BA7" w:rsidRDefault="00A57389" w:rsidP="005522B2">
            <w:pPr>
              <w:tabs>
                <w:tab w:val="left" w:pos="507"/>
              </w:tabs>
              <w:rPr>
                <w:color w:val="000000"/>
              </w:rPr>
            </w:pPr>
            <w:r>
              <w:rPr>
                <w:color w:val="000000"/>
              </w:rPr>
              <w:t xml:space="preserve">  </w:t>
            </w:r>
            <w:r w:rsidR="00182BA7">
              <w:rPr>
                <w:color w:val="000000"/>
              </w:rPr>
              <w:t>•  Overview of the Leading by Convening (LB</w:t>
            </w:r>
            <w:r w:rsidR="00E47CE4">
              <w:rPr>
                <w:color w:val="000000"/>
              </w:rPr>
              <w:t>C) p</w:t>
            </w:r>
            <w:r w:rsidR="00182BA7">
              <w:rPr>
                <w:color w:val="000000"/>
              </w:rPr>
              <w:t xml:space="preserve">rocess </w:t>
            </w:r>
            <w:r w:rsidR="00E47CE4">
              <w:rPr>
                <w:color w:val="000000"/>
              </w:rPr>
              <w:t xml:space="preserve">by Joanne Cashman </w:t>
            </w:r>
            <w:r w:rsidR="00E47CE4" w:rsidRPr="00E47CE4">
              <w:rPr>
                <w:color w:val="000000"/>
              </w:rPr>
              <w:t>(morning session)</w:t>
            </w:r>
          </w:p>
          <w:p w14:paraId="45EAECA0" w14:textId="38096CF9" w:rsidR="00E47CE4" w:rsidRDefault="00E47CE4" w:rsidP="005522B2">
            <w:pPr>
              <w:tabs>
                <w:tab w:val="left" w:pos="507"/>
              </w:tabs>
              <w:rPr>
                <w:color w:val="000000"/>
              </w:rPr>
            </w:pPr>
            <w:r>
              <w:rPr>
                <w:color w:val="000000"/>
              </w:rPr>
              <w:t xml:space="preserve">  •  Overview of Significant Proportionality Data (morning session)</w:t>
            </w:r>
          </w:p>
          <w:p w14:paraId="744CEB5D" w14:textId="0CA3BA8B" w:rsidR="00E47CE4" w:rsidRPr="00182BA7" w:rsidRDefault="00A57389" w:rsidP="005522B2">
            <w:pPr>
              <w:tabs>
                <w:tab w:val="left" w:pos="507"/>
              </w:tabs>
              <w:rPr>
                <w:color w:val="000000"/>
              </w:rPr>
            </w:pPr>
            <w:r>
              <w:rPr>
                <w:color w:val="000000"/>
              </w:rPr>
              <w:t xml:space="preserve">  •  Working session of LBC process using the Significant Disportionality data and decision-making points as the focus (afternoon session)</w:t>
            </w:r>
          </w:p>
        </w:tc>
        <w:tc>
          <w:tcPr>
            <w:tcW w:w="2880" w:type="dxa"/>
            <w:tcBorders>
              <w:top w:val="single" w:sz="6" w:space="0" w:color="auto"/>
              <w:left w:val="single" w:sz="6" w:space="0" w:color="auto"/>
              <w:bottom w:val="single" w:sz="6" w:space="0" w:color="auto"/>
              <w:right w:val="single" w:sz="6" w:space="0" w:color="auto"/>
            </w:tcBorders>
          </w:tcPr>
          <w:p w14:paraId="45EE5282" w14:textId="77777777" w:rsidR="00797A71" w:rsidRPr="009559C2" w:rsidRDefault="00797A71" w:rsidP="00752660">
            <w:pPr>
              <w:rPr>
                <w:color w:val="000000"/>
              </w:rPr>
            </w:pPr>
          </w:p>
        </w:tc>
      </w:tr>
    </w:tbl>
    <w:p w14:paraId="3B5B718E" w14:textId="050C82D4" w:rsidR="00657505" w:rsidRPr="009559C2" w:rsidRDefault="00657505" w:rsidP="003E5E8A">
      <w:pPr>
        <w:rPr>
          <w:color w:val="000000"/>
        </w:rPr>
      </w:pPr>
    </w:p>
    <w:sectPr w:rsidR="00657505" w:rsidRPr="009559C2" w:rsidSect="003E5E8A">
      <w:headerReference w:type="even" r:id="rId7"/>
      <w:headerReference w:type="default" r:id="rId8"/>
      <w:footerReference w:type="even" r:id="rId9"/>
      <w:footerReference w:type="default" r:id="rId10"/>
      <w:headerReference w:type="first" r:id="rId11"/>
      <w:footerReference w:type="first" r:id="rId12"/>
      <w:pgSz w:w="15840" w:h="12240" w:orient="landscape"/>
      <w:pgMar w:top="1008" w:right="1440" w:bottom="432"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C50F1" w14:textId="77777777" w:rsidR="00EE76B7" w:rsidRDefault="00EE76B7">
      <w:r>
        <w:separator/>
      </w:r>
    </w:p>
  </w:endnote>
  <w:endnote w:type="continuationSeparator" w:id="0">
    <w:p w14:paraId="1B4F9023" w14:textId="77777777" w:rsidR="00EE76B7" w:rsidRDefault="00EE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6221" w14:textId="77777777" w:rsidR="00B264EA" w:rsidRDefault="00B264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4072" w14:textId="77777777" w:rsidR="00B264EA" w:rsidRDefault="00B264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8D07" w14:textId="77777777" w:rsidR="00B264EA" w:rsidRDefault="00B264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6625" w14:textId="77777777" w:rsidR="00EE76B7" w:rsidRDefault="00EE76B7">
      <w:r>
        <w:separator/>
      </w:r>
    </w:p>
  </w:footnote>
  <w:footnote w:type="continuationSeparator" w:id="0">
    <w:p w14:paraId="621FA71C" w14:textId="77777777" w:rsidR="00EE76B7" w:rsidRDefault="00EE7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2502C" w14:textId="77777777" w:rsidR="00B264EA" w:rsidRDefault="00B264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D643A" w14:textId="3CFEA7E4" w:rsidR="00A57389" w:rsidRPr="00DF3108" w:rsidRDefault="00B264EA">
    <w:pPr>
      <w:pStyle w:val="Header"/>
      <w:jc w:val="right"/>
      <w:rPr>
        <w:u w:val="single"/>
      </w:rPr>
    </w:pPr>
    <w:r>
      <w:rPr>
        <w:u w:val="single"/>
      </w:rPr>
      <w:t>Approved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6419" w14:textId="77777777" w:rsidR="00B264EA" w:rsidRDefault="00B264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05652"/>
    <w:multiLevelType w:val="hybridMultilevel"/>
    <w:tmpl w:val="796E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A7761F"/>
    <w:multiLevelType w:val="hybridMultilevel"/>
    <w:tmpl w:val="ACF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75E5D"/>
    <w:multiLevelType w:val="hybridMultilevel"/>
    <w:tmpl w:val="AC5C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10AD63E4"/>
    <w:multiLevelType w:val="hybridMultilevel"/>
    <w:tmpl w:val="2CBA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D7DE8"/>
    <w:multiLevelType w:val="hybridMultilevel"/>
    <w:tmpl w:val="0FC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D35EB5"/>
    <w:multiLevelType w:val="hybridMultilevel"/>
    <w:tmpl w:val="36DE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794DCC"/>
    <w:multiLevelType w:val="hybridMultilevel"/>
    <w:tmpl w:val="530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8F7D4D"/>
    <w:multiLevelType w:val="hybridMultilevel"/>
    <w:tmpl w:val="DFCC4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C783FC7"/>
    <w:multiLevelType w:val="hybridMultilevel"/>
    <w:tmpl w:val="2BEC60CA"/>
    <w:lvl w:ilvl="0" w:tplc="4510DAC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3">
    <w:nsid w:val="5D0F402C"/>
    <w:multiLevelType w:val="hybridMultilevel"/>
    <w:tmpl w:val="15B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B20CE2"/>
    <w:multiLevelType w:val="hybridMultilevel"/>
    <w:tmpl w:val="001A3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071BF"/>
    <w:multiLevelType w:val="hybridMultilevel"/>
    <w:tmpl w:val="1F70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7"/>
  </w:num>
  <w:num w:numId="4">
    <w:abstractNumId w:val="29"/>
  </w:num>
  <w:num w:numId="5">
    <w:abstractNumId w:val="24"/>
  </w:num>
  <w:num w:numId="6">
    <w:abstractNumId w:val="15"/>
  </w:num>
  <w:num w:numId="7">
    <w:abstractNumId w:val="11"/>
  </w:num>
  <w:num w:numId="8">
    <w:abstractNumId w:val="6"/>
  </w:num>
  <w:num w:numId="9">
    <w:abstractNumId w:val="1"/>
  </w:num>
  <w:num w:numId="10">
    <w:abstractNumId w:val="13"/>
  </w:num>
  <w:num w:numId="11">
    <w:abstractNumId w:val="36"/>
  </w:num>
  <w:num w:numId="12">
    <w:abstractNumId w:val="0"/>
  </w:num>
  <w:num w:numId="13">
    <w:abstractNumId w:val="41"/>
  </w:num>
  <w:num w:numId="14">
    <w:abstractNumId w:val="16"/>
  </w:num>
  <w:num w:numId="15">
    <w:abstractNumId w:val="34"/>
  </w:num>
  <w:num w:numId="16">
    <w:abstractNumId w:val="7"/>
  </w:num>
  <w:num w:numId="17">
    <w:abstractNumId w:val="8"/>
  </w:num>
  <w:num w:numId="18">
    <w:abstractNumId w:val="21"/>
  </w:num>
  <w:num w:numId="19">
    <w:abstractNumId w:val="20"/>
  </w:num>
  <w:num w:numId="20">
    <w:abstractNumId w:val="30"/>
  </w:num>
  <w:num w:numId="21">
    <w:abstractNumId w:val="38"/>
  </w:num>
  <w:num w:numId="22">
    <w:abstractNumId w:val="26"/>
  </w:num>
  <w:num w:numId="23">
    <w:abstractNumId w:val="37"/>
  </w:num>
  <w:num w:numId="24">
    <w:abstractNumId w:val="27"/>
  </w:num>
  <w:num w:numId="25">
    <w:abstractNumId w:val="35"/>
  </w:num>
  <w:num w:numId="26">
    <w:abstractNumId w:val="14"/>
  </w:num>
  <w:num w:numId="27">
    <w:abstractNumId w:val="31"/>
  </w:num>
  <w:num w:numId="28">
    <w:abstractNumId w:val="3"/>
  </w:num>
  <w:num w:numId="29">
    <w:abstractNumId w:val="25"/>
  </w:num>
  <w:num w:numId="30">
    <w:abstractNumId w:val="10"/>
  </w:num>
  <w:num w:numId="31">
    <w:abstractNumId w:val="28"/>
  </w:num>
  <w:num w:numId="32">
    <w:abstractNumId w:val="5"/>
  </w:num>
  <w:num w:numId="33">
    <w:abstractNumId w:val="39"/>
  </w:num>
  <w:num w:numId="34">
    <w:abstractNumId w:val="40"/>
  </w:num>
  <w:num w:numId="35">
    <w:abstractNumId w:val="2"/>
  </w:num>
  <w:num w:numId="36">
    <w:abstractNumId w:val="12"/>
  </w:num>
  <w:num w:numId="37">
    <w:abstractNumId w:val="19"/>
  </w:num>
  <w:num w:numId="38">
    <w:abstractNumId w:val="33"/>
  </w:num>
  <w:num w:numId="39">
    <w:abstractNumId w:val="9"/>
  </w:num>
  <w:num w:numId="40">
    <w:abstractNumId w:val="18"/>
  </w:num>
  <w:num w:numId="41">
    <w:abstractNumId w:val="3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31B23"/>
    <w:rsid w:val="00032A66"/>
    <w:rsid w:val="00051A1A"/>
    <w:rsid w:val="000520BA"/>
    <w:rsid w:val="00065DF7"/>
    <w:rsid w:val="000777C5"/>
    <w:rsid w:val="00087792"/>
    <w:rsid w:val="00091707"/>
    <w:rsid w:val="00097F60"/>
    <w:rsid w:val="000B0CFB"/>
    <w:rsid w:val="000B4FD7"/>
    <w:rsid w:val="000D0BE4"/>
    <w:rsid w:val="000D35BB"/>
    <w:rsid w:val="000D7360"/>
    <w:rsid w:val="000E70A3"/>
    <w:rsid w:val="000E7F60"/>
    <w:rsid w:val="000F014F"/>
    <w:rsid w:val="000F079F"/>
    <w:rsid w:val="000F2136"/>
    <w:rsid w:val="000F2544"/>
    <w:rsid w:val="001011E2"/>
    <w:rsid w:val="00123801"/>
    <w:rsid w:val="00130E76"/>
    <w:rsid w:val="00134C68"/>
    <w:rsid w:val="001471EB"/>
    <w:rsid w:val="001572BD"/>
    <w:rsid w:val="00157F51"/>
    <w:rsid w:val="0017121E"/>
    <w:rsid w:val="00171B9A"/>
    <w:rsid w:val="001747CD"/>
    <w:rsid w:val="001767B2"/>
    <w:rsid w:val="00182BA7"/>
    <w:rsid w:val="001832C4"/>
    <w:rsid w:val="00190696"/>
    <w:rsid w:val="00191C62"/>
    <w:rsid w:val="001A2B3A"/>
    <w:rsid w:val="001B1289"/>
    <w:rsid w:val="001C1710"/>
    <w:rsid w:val="001D0F37"/>
    <w:rsid w:val="001E7A4B"/>
    <w:rsid w:val="001F0BAE"/>
    <w:rsid w:val="001F59BC"/>
    <w:rsid w:val="00201189"/>
    <w:rsid w:val="00201F5D"/>
    <w:rsid w:val="002038B1"/>
    <w:rsid w:val="002040E6"/>
    <w:rsid w:val="0020546A"/>
    <w:rsid w:val="00206231"/>
    <w:rsid w:val="00210446"/>
    <w:rsid w:val="002208F2"/>
    <w:rsid w:val="002332DB"/>
    <w:rsid w:val="00234A3F"/>
    <w:rsid w:val="002655E0"/>
    <w:rsid w:val="00267D82"/>
    <w:rsid w:val="00271AF4"/>
    <w:rsid w:val="00275F65"/>
    <w:rsid w:val="002802AD"/>
    <w:rsid w:val="002A7720"/>
    <w:rsid w:val="002B1F2C"/>
    <w:rsid w:val="002B7CBD"/>
    <w:rsid w:val="002C1209"/>
    <w:rsid w:val="002C47B3"/>
    <w:rsid w:val="002D2455"/>
    <w:rsid w:val="002D7A29"/>
    <w:rsid w:val="002E53A4"/>
    <w:rsid w:val="002E73FC"/>
    <w:rsid w:val="002F074D"/>
    <w:rsid w:val="00300F2B"/>
    <w:rsid w:val="00305BD3"/>
    <w:rsid w:val="00310830"/>
    <w:rsid w:val="003274FE"/>
    <w:rsid w:val="00340BF1"/>
    <w:rsid w:val="00341F15"/>
    <w:rsid w:val="0034777B"/>
    <w:rsid w:val="003601C0"/>
    <w:rsid w:val="003710F4"/>
    <w:rsid w:val="003818DD"/>
    <w:rsid w:val="00397EAE"/>
    <w:rsid w:val="003A0B39"/>
    <w:rsid w:val="003B30A3"/>
    <w:rsid w:val="003E5E8A"/>
    <w:rsid w:val="003E6E6B"/>
    <w:rsid w:val="003F1911"/>
    <w:rsid w:val="003F3881"/>
    <w:rsid w:val="003F5C80"/>
    <w:rsid w:val="0042169A"/>
    <w:rsid w:val="00423CF8"/>
    <w:rsid w:val="00426009"/>
    <w:rsid w:val="004511F9"/>
    <w:rsid w:val="0045257A"/>
    <w:rsid w:val="00466473"/>
    <w:rsid w:val="00480382"/>
    <w:rsid w:val="00486C82"/>
    <w:rsid w:val="00491315"/>
    <w:rsid w:val="004A085C"/>
    <w:rsid w:val="004B1CCC"/>
    <w:rsid w:val="004C134B"/>
    <w:rsid w:val="004C4AF2"/>
    <w:rsid w:val="004C5E47"/>
    <w:rsid w:val="004D2585"/>
    <w:rsid w:val="004E34DE"/>
    <w:rsid w:val="004E4FD1"/>
    <w:rsid w:val="004E6C43"/>
    <w:rsid w:val="004E7218"/>
    <w:rsid w:val="004F08B1"/>
    <w:rsid w:val="004F0C00"/>
    <w:rsid w:val="004F60F6"/>
    <w:rsid w:val="0051157C"/>
    <w:rsid w:val="005252B5"/>
    <w:rsid w:val="00526304"/>
    <w:rsid w:val="00532C95"/>
    <w:rsid w:val="0053583B"/>
    <w:rsid w:val="0055188A"/>
    <w:rsid w:val="005522B2"/>
    <w:rsid w:val="00555D2A"/>
    <w:rsid w:val="005B41E9"/>
    <w:rsid w:val="005C0620"/>
    <w:rsid w:val="005C0896"/>
    <w:rsid w:val="005E79CA"/>
    <w:rsid w:val="005F008D"/>
    <w:rsid w:val="005F3336"/>
    <w:rsid w:val="00611982"/>
    <w:rsid w:val="0061406D"/>
    <w:rsid w:val="006168C3"/>
    <w:rsid w:val="00630D48"/>
    <w:rsid w:val="006318AE"/>
    <w:rsid w:val="00635F0C"/>
    <w:rsid w:val="00641215"/>
    <w:rsid w:val="00646AE3"/>
    <w:rsid w:val="00657012"/>
    <w:rsid w:val="00657359"/>
    <w:rsid w:val="00657505"/>
    <w:rsid w:val="006724AE"/>
    <w:rsid w:val="00675473"/>
    <w:rsid w:val="006868E0"/>
    <w:rsid w:val="006A7CE9"/>
    <w:rsid w:val="006B4AA0"/>
    <w:rsid w:val="006C5060"/>
    <w:rsid w:val="006D0EC9"/>
    <w:rsid w:val="006D1702"/>
    <w:rsid w:val="006D5A39"/>
    <w:rsid w:val="006F18A5"/>
    <w:rsid w:val="0070231C"/>
    <w:rsid w:val="0071596F"/>
    <w:rsid w:val="00715CCC"/>
    <w:rsid w:val="00724C80"/>
    <w:rsid w:val="007307BD"/>
    <w:rsid w:val="00737E38"/>
    <w:rsid w:val="00740CD1"/>
    <w:rsid w:val="007426B0"/>
    <w:rsid w:val="00750B57"/>
    <w:rsid w:val="00752660"/>
    <w:rsid w:val="00753FF8"/>
    <w:rsid w:val="007542FA"/>
    <w:rsid w:val="00766550"/>
    <w:rsid w:val="0078333D"/>
    <w:rsid w:val="00797A71"/>
    <w:rsid w:val="007A4EC6"/>
    <w:rsid w:val="007A5542"/>
    <w:rsid w:val="007C7299"/>
    <w:rsid w:val="007D267D"/>
    <w:rsid w:val="007D787D"/>
    <w:rsid w:val="007E263F"/>
    <w:rsid w:val="007E3516"/>
    <w:rsid w:val="007F1C84"/>
    <w:rsid w:val="007F26FB"/>
    <w:rsid w:val="007F3140"/>
    <w:rsid w:val="007F35A7"/>
    <w:rsid w:val="008002CC"/>
    <w:rsid w:val="008029B1"/>
    <w:rsid w:val="00827AE4"/>
    <w:rsid w:val="00834D81"/>
    <w:rsid w:val="0084212C"/>
    <w:rsid w:val="00851BBE"/>
    <w:rsid w:val="008543CA"/>
    <w:rsid w:val="00877352"/>
    <w:rsid w:val="00884DF6"/>
    <w:rsid w:val="00891CF3"/>
    <w:rsid w:val="008B16CE"/>
    <w:rsid w:val="008B5333"/>
    <w:rsid w:val="008B58D4"/>
    <w:rsid w:val="008C775D"/>
    <w:rsid w:val="008E0662"/>
    <w:rsid w:val="008E30D6"/>
    <w:rsid w:val="009023F1"/>
    <w:rsid w:val="00906C4D"/>
    <w:rsid w:val="00907B3F"/>
    <w:rsid w:val="00922F59"/>
    <w:rsid w:val="009306FA"/>
    <w:rsid w:val="00936FA2"/>
    <w:rsid w:val="0095063E"/>
    <w:rsid w:val="009559C2"/>
    <w:rsid w:val="009640EE"/>
    <w:rsid w:val="00966108"/>
    <w:rsid w:val="00966EA3"/>
    <w:rsid w:val="00970A4C"/>
    <w:rsid w:val="00970BD5"/>
    <w:rsid w:val="00972464"/>
    <w:rsid w:val="009758FA"/>
    <w:rsid w:val="009765FC"/>
    <w:rsid w:val="009873A6"/>
    <w:rsid w:val="009A1D57"/>
    <w:rsid w:val="009B4AE0"/>
    <w:rsid w:val="009B4B1B"/>
    <w:rsid w:val="009C70D2"/>
    <w:rsid w:val="009E7900"/>
    <w:rsid w:val="009F133E"/>
    <w:rsid w:val="009F4A65"/>
    <w:rsid w:val="00A02818"/>
    <w:rsid w:val="00A113B2"/>
    <w:rsid w:val="00A255DA"/>
    <w:rsid w:val="00A26DA9"/>
    <w:rsid w:val="00A308F4"/>
    <w:rsid w:val="00A336D3"/>
    <w:rsid w:val="00A355C0"/>
    <w:rsid w:val="00A36D4F"/>
    <w:rsid w:val="00A445F1"/>
    <w:rsid w:val="00A4554A"/>
    <w:rsid w:val="00A5222D"/>
    <w:rsid w:val="00A57389"/>
    <w:rsid w:val="00A61E56"/>
    <w:rsid w:val="00A66332"/>
    <w:rsid w:val="00A75B5D"/>
    <w:rsid w:val="00A860FC"/>
    <w:rsid w:val="00A913B3"/>
    <w:rsid w:val="00AA20EC"/>
    <w:rsid w:val="00AA4D2F"/>
    <w:rsid w:val="00AA5BC3"/>
    <w:rsid w:val="00AA7373"/>
    <w:rsid w:val="00AC040E"/>
    <w:rsid w:val="00AD7A96"/>
    <w:rsid w:val="00AD7C11"/>
    <w:rsid w:val="00AE480C"/>
    <w:rsid w:val="00AE790C"/>
    <w:rsid w:val="00AF0297"/>
    <w:rsid w:val="00AF0418"/>
    <w:rsid w:val="00AF0F29"/>
    <w:rsid w:val="00AF163B"/>
    <w:rsid w:val="00AF3F1B"/>
    <w:rsid w:val="00B02D30"/>
    <w:rsid w:val="00B02E06"/>
    <w:rsid w:val="00B264EA"/>
    <w:rsid w:val="00B26D86"/>
    <w:rsid w:val="00B455BE"/>
    <w:rsid w:val="00B83EC0"/>
    <w:rsid w:val="00B924FD"/>
    <w:rsid w:val="00BB2541"/>
    <w:rsid w:val="00BB6C8D"/>
    <w:rsid w:val="00BC069C"/>
    <w:rsid w:val="00BC334A"/>
    <w:rsid w:val="00BF2058"/>
    <w:rsid w:val="00C0642E"/>
    <w:rsid w:val="00C06967"/>
    <w:rsid w:val="00C1018F"/>
    <w:rsid w:val="00C1071B"/>
    <w:rsid w:val="00C21178"/>
    <w:rsid w:val="00C24F62"/>
    <w:rsid w:val="00C314AB"/>
    <w:rsid w:val="00C348CA"/>
    <w:rsid w:val="00C47115"/>
    <w:rsid w:val="00C6187D"/>
    <w:rsid w:val="00C7240D"/>
    <w:rsid w:val="00CA3E3A"/>
    <w:rsid w:val="00CE1BA4"/>
    <w:rsid w:val="00D00092"/>
    <w:rsid w:val="00D052BF"/>
    <w:rsid w:val="00D058C3"/>
    <w:rsid w:val="00D2254C"/>
    <w:rsid w:val="00D32BC9"/>
    <w:rsid w:val="00D33E5D"/>
    <w:rsid w:val="00D34FEA"/>
    <w:rsid w:val="00D369E0"/>
    <w:rsid w:val="00D52619"/>
    <w:rsid w:val="00D52E17"/>
    <w:rsid w:val="00D64C5D"/>
    <w:rsid w:val="00D736D4"/>
    <w:rsid w:val="00D81169"/>
    <w:rsid w:val="00D850B7"/>
    <w:rsid w:val="00D907BC"/>
    <w:rsid w:val="00DA3935"/>
    <w:rsid w:val="00DB0D51"/>
    <w:rsid w:val="00DB64CC"/>
    <w:rsid w:val="00DC314C"/>
    <w:rsid w:val="00DC7B19"/>
    <w:rsid w:val="00DE07C2"/>
    <w:rsid w:val="00DE1E47"/>
    <w:rsid w:val="00DE2AE3"/>
    <w:rsid w:val="00DF038E"/>
    <w:rsid w:val="00DF2C78"/>
    <w:rsid w:val="00DF3108"/>
    <w:rsid w:val="00E03CB9"/>
    <w:rsid w:val="00E10732"/>
    <w:rsid w:val="00E10841"/>
    <w:rsid w:val="00E11956"/>
    <w:rsid w:val="00E128DE"/>
    <w:rsid w:val="00E136D2"/>
    <w:rsid w:val="00E212B2"/>
    <w:rsid w:val="00E417E0"/>
    <w:rsid w:val="00E45B6D"/>
    <w:rsid w:val="00E47CE4"/>
    <w:rsid w:val="00E57B8D"/>
    <w:rsid w:val="00E6056D"/>
    <w:rsid w:val="00E614CC"/>
    <w:rsid w:val="00E64F6C"/>
    <w:rsid w:val="00E716E5"/>
    <w:rsid w:val="00E75A10"/>
    <w:rsid w:val="00E82EB0"/>
    <w:rsid w:val="00E87B3B"/>
    <w:rsid w:val="00E9152A"/>
    <w:rsid w:val="00E95690"/>
    <w:rsid w:val="00EA2FDB"/>
    <w:rsid w:val="00EA3B66"/>
    <w:rsid w:val="00EA6900"/>
    <w:rsid w:val="00EB56AE"/>
    <w:rsid w:val="00EE76B7"/>
    <w:rsid w:val="00EF14D7"/>
    <w:rsid w:val="00F0102C"/>
    <w:rsid w:val="00F02DBE"/>
    <w:rsid w:val="00F06050"/>
    <w:rsid w:val="00F060AB"/>
    <w:rsid w:val="00F0684F"/>
    <w:rsid w:val="00F07033"/>
    <w:rsid w:val="00F14CDE"/>
    <w:rsid w:val="00F26DC0"/>
    <w:rsid w:val="00F30A56"/>
    <w:rsid w:val="00F36848"/>
    <w:rsid w:val="00F41303"/>
    <w:rsid w:val="00F41990"/>
    <w:rsid w:val="00F452DC"/>
    <w:rsid w:val="00F649C7"/>
    <w:rsid w:val="00F83F04"/>
    <w:rsid w:val="00F84A80"/>
    <w:rsid w:val="00F960C4"/>
    <w:rsid w:val="00F96C80"/>
    <w:rsid w:val="00FA4528"/>
    <w:rsid w:val="00FB06DA"/>
    <w:rsid w:val="00FB5473"/>
    <w:rsid w:val="00FC106E"/>
    <w:rsid w:val="00FD162A"/>
    <w:rsid w:val="00FD62F5"/>
    <w:rsid w:val="00FD7D38"/>
    <w:rsid w:val="00FE0F15"/>
    <w:rsid w:val="00FE4A85"/>
    <w:rsid w:val="00FE762C"/>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33C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character" w:styleId="FollowedHyperlink">
    <w:name w:val="FollowedHyperlink"/>
    <w:uiPriority w:val="99"/>
    <w:semiHidden/>
    <w:unhideWhenUsed/>
    <w:rsid w:val="00300F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1743</Words>
  <Characters>9938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11658</CharactersWithSpaces>
  <SharedDoc>false</SharedDoc>
  <HLinks>
    <vt:vector size="6" baseType="variant">
      <vt:variant>
        <vt:i4>2949147</vt:i4>
      </vt:variant>
      <vt:variant>
        <vt:i4>0</vt:i4>
      </vt:variant>
      <vt:variant>
        <vt:i4>0</vt:i4>
      </vt:variant>
      <vt:variant>
        <vt:i4>5</vt:i4>
      </vt:variant>
      <vt:variant>
        <vt:lpwstr>mailto:special_ed_complaints@notes.k12.hi.us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5</cp:revision>
  <cp:lastPrinted>2018-01-09T22:54:00Z</cp:lastPrinted>
  <dcterms:created xsi:type="dcterms:W3CDTF">2018-02-09T00:19:00Z</dcterms:created>
  <dcterms:modified xsi:type="dcterms:W3CDTF">2018-03-06T00:23:00Z</dcterms:modified>
</cp:coreProperties>
</file>