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248DA" w14:textId="77777777" w:rsidR="000A7A03" w:rsidRPr="00DF7694" w:rsidRDefault="000A7A03">
      <w:pPr>
        <w:pStyle w:val="Title"/>
        <w:spacing w:line="240" w:lineRule="exact"/>
        <w:outlineLvl w:val="0"/>
      </w:pPr>
      <w:r w:rsidRPr="00DF7694">
        <w:t>SPECIAL EDUCATION ADVISORY COUNCIL</w:t>
      </w:r>
    </w:p>
    <w:p w14:paraId="7241CC34" w14:textId="3F7BE363" w:rsidR="000A7A03" w:rsidRPr="00DF7694" w:rsidRDefault="000A7A03">
      <w:pPr>
        <w:pStyle w:val="Subtitle"/>
        <w:spacing w:line="240" w:lineRule="exact"/>
        <w:outlineLvl w:val="0"/>
      </w:pPr>
      <w:r w:rsidRPr="00DF7694">
        <w:t xml:space="preserve">Minutes – </w:t>
      </w:r>
      <w:r w:rsidR="00CC493E">
        <w:t>April 17</w:t>
      </w:r>
      <w:r w:rsidR="00916270">
        <w:t>,</w:t>
      </w:r>
      <w:r w:rsidR="00867DC3">
        <w:t xml:space="preserve"> 2015</w:t>
      </w:r>
    </w:p>
    <w:p w14:paraId="6143CE24" w14:textId="77777777" w:rsidR="000A7A03" w:rsidRDefault="000A7A03">
      <w:pPr>
        <w:widowControl w:val="0"/>
        <w:spacing w:line="240" w:lineRule="exact"/>
        <w:jc w:val="center"/>
        <w:outlineLvl w:val="0"/>
      </w:pPr>
      <w:r w:rsidRPr="00DF7694">
        <w:t>9:00 a.m. – 12:00 p.m.</w:t>
      </w:r>
    </w:p>
    <w:p w14:paraId="0148209C" w14:textId="77777777" w:rsidR="005A3A50" w:rsidRPr="00813F9C" w:rsidRDefault="005A3A50" w:rsidP="005A3A50">
      <w:pPr>
        <w:widowControl w:val="0"/>
        <w:spacing w:line="240" w:lineRule="exact"/>
        <w:outlineLvl w:val="0"/>
        <w:rPr>
          <w:sz w:val="12"/>
          <w:szCs w:val="12"/>
        </w:rPr>
      </w:pPr>
    </w:p>
    <w:p w14:paraId="4717B8DE" w14:textId="455FB109" w:rsidR="000A7A03" w:rsidRPr="00DF7694" w:rsidRDefault="000A7A03">
      <w:pPr>
        <w:widowControl w:val="0"/>
        <w:spacing w:line="240" w:lineRule="exact"/>
        <w:ind w:right="360"/>
      </w:pPr>
      <w:r w:rsidRPr="00DF7694">
        <w:rPr>
          <w:b/>
        </w:rPr>
        <w:t>PRESENT:</w:t>
      </w:r>
      <w:r w:rsidRPr="00DF7694">
        <w:t xml:space="preserve"> </w:t>
      </w:r>
      <w:r w:rsidR="00AA63B4">
        <w:t xml:space="preserve">Brendelyn Ancheta, </w:t>
      </w:r>
      <w:r w:rsidR="00867DC3" w:rsidRPr="00DF7694">
        <w:t xml:space="preserve">Tammy Bopp, </w:t>
      </w:r>
      <w:r w:rsidR="00CC493E">
        <w:t>Mary Brogan (for Jenny Gong), Bob C</w:t>
      </w:r>
      <w:r w:rsidR="0098369B">
        <w:t>ampbell</w:t>
      </w:r>
      <w:r w:rsidRPr="00DF7694">
        <w:t xml:space="preserve">, </w:t>
      </w:r>
      <w:r w:rsidR="00B612DA" w:rsidRPr="00DF7694">
        <w:t>Debbie Cheeseman,</w:t>
      </w:r>
      <w:r w:rsidR="00B612DA" w:rsidRPr="00DF7694">
        <w:rPr>
          <w:b/>
        </w:rPr>
        <w:t xml:space="preserve"> </w:t>
      </w:r>
      <w:r w:rsidR="00916270" w:rsidRPr="00DF7694">
        <w:t xml:space="preserve">Annette Cooper, </w:t>
      </w:r>
      <w:r w:rsidR="00CC493E" w:rsidRPr="00DF7694">
        <w:t xml:space="preserve">Gabriele Finn, </w:t>
      </w:r>
      <w:r w:rsidR="0098369B">
        <w:t xml:space="preserve">Martha Guinan, </w:t>
      </w:r>
      <w:r w:rsidR="00CC493E" w:rsidRPr="00DF7694">
        <w:t xml:space="preserve">Barbara Ioli, </w:t>
      </w:r>
      <w:r w:rsidR="00CC493E">
        <w:t xml:space="preserve">Valerie Johnson, </w:t>
      </w:r>
      <w:r w:rsidR="00916270">
        <w:t>Amanda Kaahanui</w:t>
      </w:r>
      <w:r w:rsidR="00916270" w:rsidRPr="00DF7694">
        <w:t xml:space="preserve">, </w:t>
      </w:r>
      <w:r w:rsidR="00B612DA" w:rsidRPr="00DF7694">
        <w:t xml:space="preserve">Barbara Pretty, </w:t>
      </w:r>
      <w:r w:rsidR="008C2741" w:rsidRPr="00DF7694">
        <w:t>Kau</w:t>
      </w:r>
      <w:r w:rsidR="006D3814">
        <w:t>`</w:t>
      </w:r>
      <w:r w:rsidR="008C2741" w:rsidRPr="00DF7694">
        <w:t>i Rezentes</w:t>
      </w:r>
      <w:r w:rsidR="008C2741">
        <w:t xml:space="preserve">, </w:t>
      </w:r>
      <w:r w:rsidR="00241C7D">
        <w:t xml:space="preserve">Susan Rocco, </w:t>
      </w:r>
      <w:r w:rsidR="00CC493E">
        <w:t>Rosie Rowe, Tricia Sheehey</w:t>
      </w:r>
      <w:r w:rsidRPr="00DF7694">
        <w:t xml:space="preserve">, Ivalee Sinclair, </w:t>
      </w:r>
      <w:r w:rsidR="00B612DA" w:rsidRPr="00DF7694">
        <w:t xml:space="preserve">Tom Smith, </w:t>
      </w:r>
      <w:r w:rsidRPr="00DF7694">
        <w:t xml:space="preserve">Lani Solomona, </w:t>
      </w:r>
      <w:r w:rsidR="00916270">
        <w:t xml:space="preserve">Todd Takahashi, </w:t>
      </w:r>
      <w:r w:rsidR="00CC493E">
        <w:t xml:space="preserve">Amy Wiech, </w:t>
      </w:r>
      <w:r w:rsidRPr="00DF7694">
        <w:t xml:space="preserve">Susan Wood </w:t>
      </w:r>
    </w:p>
    <w:p w14:paraId="741BFF54" w14:textId="52CF47B4" w:rsidR="00916270" w:rsidRDefault="000A7A03" w:rsidP="00CC493E">
      <w:pPr>
        <w:widowControl w:val="0"/>
        <w:tabs>
          <w:tab w:val="left" w:pos="2700"/>
        </w:tabs>
        <w:spacing w:line="240" w:lineRule="exact"/>
        <w:ind w:right="360"/>
      </w:pPr>
      <w:r w:rsidRPr="00DF7694">
        <w:rPr>
          <w:b/>
        </w:rPr>
        <w:t>EXCUSED</w:t>
      </w:r>
      <w:r w:rsidRPr="00DF7694">
        <w:t xml:space="preserve">: </w:t>
      </w:r>
      <w:r w:rsidR="00CC493E" w:rsidRPr="00DF7694">
        <w:t>Shari Dela Cuadra-Larsen</w:t>
      </w:r>
      <w:r w:rsidR="00CC493E">
        <w:t xml:space="preserve">, </w:t>
      </w:r>
      <w:r w:rsidR="00B612DA">
        <w:t xml:space="preserve">Debbie Kobayakawa, </w:t>
      </w:r>
      <w:r w:rsidR="00CC493E">
        <w:t>Berna</w:t>
      </w:r>
      <w:r w:rsidR="00CC493E" w:rsidRPr="00DF7694">
        <w:t xml:space="preserve">dette Lane, </w:t>
      </w:r>
      <w:r w:rsidR="00916270" w:rsidRPr="00DF7694">
        <w:t xml:space="preserve">Dale Matsuura, </w:t>
      </w:r>
      <w:r w:rsidRPr="00DF7694">
        <w:t xml:space="preserve">Stacey Oshio, </w:t>
      </w:r>
      <w:r w:rsidR="00916270" w:rsidRPr="00DF7694">
        <w:t xml:space="preserve">Zaidarene Place, </w:t>
      </w:r>
      <w:r w:rsidR="00CC493E">
        <w:t>Dan Ulrich</w:t>
      </w:r>
      <w:r w:rsidR="00A855B6">
        <w:t>, Jasmine Williams</w:t>
      </w:r>
      <w:bookmarkStart w:id="0" w:name="_GoBack"/>
      <w:bookmarkEnd w:id="0"/>
    </w:p>
    <w:p w14:paraId="711F2748" w14:textId="77777777" w:rsidR="000A7A03" w:rsidRPr="00DF7694" w:rsidRDefault="000A7A03">
      <w:pPr>
        <w:widowControl w:val="0"/>
        <w:spacing w:line="240" w:lineRule="exact"/>
        <w:ind w:right="360"/>
      </w:pPr>
      <w:r w:rsidRPr="00DF7694">
        <w:rPr>
          <w:b/>
        </w:rPr>
        <w:t xml:space="preserve">ABSENT: </w:t>
      </w:r>
      <w:r w:rsidRPr="00DF7694">
        <w:t>Natalie Haggerty</w:t>
      </w:r>
    </w:p>
    <w:p w14:paraId="5332F967" w14:textId="3421E8C3" w:rsidR="000A7A03" w:rsidRDefault="000A7A03">
      <w:pPr>
        <w:widowControl w:val="0"/>
        <w:spacing w:line="240" w:lineRule="exact"/>
        <w:ind w:right="360"/>
      </w:pPr>
      <w:r w:rsidRPr="00DF7694">
        <w:rPr>
          <w:b/>
        </w:rPr>
        <w:t>GUESTS</w:t>
      </w:r>
      <w:r w:rsidRPr="00DF7694">
        <w:t xml:space="preserve">: </w:t>
      </w:r>
      <w:r w:rsidR="00CC493E">
        <w:t xml:space="preserve">Brian De Lima, Malia Espinda, Ryan Guinan, Stephanie Shipton, </w:t>
      </w:r>
      <w:r w:rsidR="00916270">
        <w:t>Steven Vannatta</w:t>
      </w:r>
    </w:p>
    <w:p w14:paraId="6596D52F" w14:textId="77777777" w:rsidR="00813F9C" w:rsidRPr="004B06C4" w:rsidRDefault="00813F9C">
      <w:pPr>
        <w:widowControl w:val="0"/>
        <w:spacing w:line="240" w:lineRule="exact"/>
        <w:ind w:right="360"/>
        <w:rPr>
          <w:sz w:val="16"/>
          <w:szCs w:val="16"/>
        </w:rPr>
      </w:pPr>
    </w:p>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3C739FA5" w14:textId="77777777">
        <w:tc>
          <w:tcPr>
            <w:tcW w:w="2780" w:type="dxa"/>
            <w:tcBorders>
              <w:top w:val="single" w:sz="6" w:space="0" w:color="auto"/>
              <w:left w:val="single" w:sz="6" w:space="0" w:color="auto"/>
              <w:bottom w:val="single" w:sz="6" w:space="0" w:color="auto"/>
              <w:right w:val="single" w:sz="6" w:space="0" w:color="auto"/>
            </w:tcBorders>
            <w:hideMark/>
          </w:tcPr>
          <w:p w14:paraId="667D5413" w14:textId="77777777" w:rsidR="000A7A03" w:rsidRPr="00DF7694" w:rsidRDefault="000A7A03">
            <w:pPr>
              <w:widowControl w:val="0"/>
              <w:spacing w:line="240" w:lineRule="exact"/>
              <w:jc w:val="center"/>
              <w:rPr>
                <w:b/>
              </w:rPr>
            </w:pPr>
            <w:r w:rsidRPr="00DF7694">
              <w:rPr>
                <w:b/>
              </w:rPr>
              <w:t>TOPIC</w:t>
            </w:r>
          </w:p>
        </w:tc>
        <w:tc>
          <w:tcPr>
            <w:tcW w:w="7380" w:type="dxa"/>
            <w:tcBorders>
              <w:top w:val="single" w:sz="6" w:space="0" w:color="auto"/>
              <w:left w:val="single" w:sz="6" w:space="0" w:color="auto"/>
              <w:bottom w:val="single" w:sz="6" w:space="0" w:color="auto"/>
              <w:right w:val="single" w:sz="6" w:space="0" w:color="auto"/>
            </w:tcBorders>
            <w:hideMark/>
          </w:tcPr>
          <w:p w14:paraId="710F3B3C" w14:textId="77777777" w:rsidR="000A7A03" w:rsidRPr="00DF7694" w:rsidRDefault="000A7A03">
            <w:pPr>
              <w:jc w:val="center"/>
              <w:rPr>
                <w:b/>
              </w:rPr>
            </w:pPr>
            <w:r w:rsidRPr="00DF7694">
              <w:rPr>
                <w:b/>
              </w:rPr>
              <w:t>DISCUSSION</w:t>
            </w:r>
          </w:p>
        </w:tc>
        <w:tc>
          <w:tcPr>
            <w:tcW w:w="3060" w:type="dxa"/>
            <w:tcBorders>
              <w:top w:val="single" w:sz="6" w:space="0" w:color="auto"/>
              <w:left w:val="single" w:sz="6" w:space="0" w:color="auto"/>
              <w:bottom w:val="single" w:sz="6" w:space="0" w:color="auto"/>
              <w:right w:val="single" w:sz="6" w:space="0" w:color="auto"/>
            </w:tcBorders>
            <w:hideMark/>
          </w:tcPr>
          <w:p w14:paraId="706060EF" w14:textId="77777777" w:rsidR="000A7A03" w:rsidRPr="00DF7694" w:rsidRDefault="000A7A03">
            <w:pPr>
              <w:jc w:val="center"/>
              <w:rPr>
                <w:b/>
              </w:rPr>
            </w:pPr>
            <w:r w:rsidRPr="00DF7694">
              <w:rPr>
                <w:b/>
              </w:rPr>
              <w:t>ACTION</w:t>
            </w:r>
          </w:p>
        </w:tc>
      </w:tr>
      <w:tr w:rsidR="000A7A03" w:rsidRPr="00DF7694" w14:paraId="54EAC915" w14:textId="77777777">
        <w:tc>
          <w:tcPr>
            <w:tcW w:w="2780" w:type="dxa"/>
            <w:tcBorders>
              <w:top w:val="single" w:sz="6" w:space="0" w:color="auto"/>
              <w:left w:val="single" w:sz="6" w:space="0" w:color="auto"/>
              <w:bottom w:val="single" w:sz="6" w:space="0" w:color="auto"/>
              <w:right w:val="single" w:sz="6" w:space="0" w:color="auto"/>
            </w:tcBorders>
            <w:hideMark/>
          </w:tcPr>
          <w:p w14:paraId="3AC0494B" w14:textId="77777777" w:rsidR="000A7A03" w:rsidRPr="00DF7694" w:rsidRDefault="000A7A03">
            <w:pPr>
              <w:widowControl w:val="0"/>
              <w:spacing w:line="240" w:lineRule="exact"/>
              <w:rPr>
                <w:b/>
              </w:rPr>
            </w:pPr>
            <w:r w:rsidRPr="00DF7694">
              <w:rPr>
                <w:b/>
              </w:rPr>
              <w:t>Call to Order</w:t>
            </w:r>
          </w:p>
        </w:tc>
        <w:tc>
          <w:tcPr>
            <w:tcW w:w="7380" w:type="dxa"/>
            <w:tcBorders>
              <w:top w:val="single" w:sz="6" w:space="0" w:color="auto"/>
              <w:left w:val="single" w:sz="6" w:space="0" w:color="auto"/>
              <w:bottom w:val="single" w:sz="6" w:space="0" w:color="auto"/>
              <w:right w:val="single" w:sz="6" w:space="0" w:color="auto"/>
            </w:tcBorders>
            <w:hideMark/>
          </w:tcPr>
          <w:p w14:paraId="7DC89F9A" w14:textId="33434BDB" w:rsidR="000A7A03" w:rsidRPr="00DF7694" w:rsidRDefault="000A7A03" w:rsidP="00CC493E">
            <w:r w:rsidRPr="00DF7694">
              <w:t>Chair Ivalee Sinclair called the meeting to order at 9:1</w:t>
            </w:r>
            <w:r w:rsidR="00CC493E">
              <w:t>0</w:t>
            </w:r>
            <w:r w:rsidRPr="00DF7694">
              <w:t xml:space="preserve"> a.m.</w:t>
            </w:r>
          </w:p>
        </w:tc>
        <w:tc>
          <w:tcPr>
            <w:tcW w:w="3060" w:type="dxa"/>
            <w:tcBorders>
              <w:top w:val="single" w:sz="6" w:space="0" w:color="auto"/>
              <w:left w:val="single" w:sz="6" w:space="0" w:color="auto"/>
              <w:bottom w:val="single" w:sz="6" w:space="0" w:color="auto"/>
              <w:right w:val="single" w:sz="6" w:space="0" w:color="auto"/>
            </w:tcBorders>
          </w:tcPr>
          <w:p w14:paraId="149FE397" w14:textId="77777777" w:rsidR="000A7A03" w:rsidRPr="00DF7694" w:rsidRDefault="000A7A03"/>
        </w:tc>
      </w:tr>
      <w:tr w:rsidR="000A7A03" w:rsidRPr="00DF7694" w14:paraId="321A4506" w14:textId="77777777">
        <w:tc>
          <w:tcPr>
            <w:tcW w:w="2780" w:type="dxa"/>
            <w:tcBorders>
              <w:top w:val="single" w:sz="6" w:space="0" w:color="auto"/>
              <w:left w:val="single" w:sz="6" w:space="0" w:color="auto"/>
              <w:bottom w:val="single" w:sz="6" w:space="0" w:color="auto"/>
              <w:right w:val="single" w:sz="6" w:space="0" w:color="auto"/>
            </w:tcBorders>
            <w:hideMark/>
          </w:tcPr>
          <w:p w14:paraId="4E31116E" w14:textId="77777777" w:rsidR="000A7A03" w:rsidRPr="00DF7694" w:rsidRDefault="0098369B">
            <w:pPr>
              <w:widowControl w:val="0"/>
              <w:spacing w:line="240" w:lineRule="exact"/>
              <w:rPr>
                <w:b/>
              </w:rPr>
            </w:pPr>
            <w:r>
              <w:rPr>
                <w:b/>
              </w:rPr>
              <w:t>Announcements</w:t>
            </w:r>
          </w:p>
        </w:tc>
        <w:tc>
          <w:tcPr>
            <w:tcW w:w="7380" w:type="dxa"/>
            <w:tcBorders>
              <w:top w:val="single" w:sz="6" w:space="0" w:color="auto"/>
              <w:left w:val="single" w:sz="6" w:space="0" w:color="auto"/>
              <w:bottom w:val="single" w:sz="6" w:space="0" w:color="auto"/>
              <w:right w:val="single" w:sz="6" w:space="0" w:color="auto"/>
            </w:tcBorders>
            <w:hideMark/>
          </w:tcPr>
          <w:p w14:paraId="4B768AE4" w14:textId="2095D23B" w:rsidR="00DE170C" w:rsidRPr="00DF7694" w:rsidRDefault="00916270" w:rsidP="00CC493E">
            <w:pPr>
              <w:pStyle w:val="Header"/>
              <w:tabs>
                <w:tab w:val="left" w:pos="752"/>
              </w:tabs>
            </w:pPr>
            <w:r>
              <w:t xml:space="preserve">Susan Rocco announced that </w:t>
            </w:r>
            <w:r w:rsidR="00CC493E">
              <w:t xml:space="preserve">the </w:t>
            </w:r>
            <w:r>
              <w:t xml:space="preserve">SPIN </w:t>
            </w:r>
            <w:r w:rsidR="00CC493E">
              <w:t>Conference on</w:t>
            </w:r>
            <w:r>
              <w:t xml:space="preserve"> May 2</w:t>
            </w:r>
            <w:r w:rsidRPr="00916270">
              <w:rPr>
                <w:vertAlign w:val="superscript"/>
              </w:rPr>
              <w:t>nd</w:t>
            </w:r>
            <w:r w:rsidR="00CC493E">
              <w:t xml:space="preserve"> has over 60 agency displays, including SEAC.</w:t>
            </w:r>
            <w:r>
              <w:t xml:space="preserve">  </w:t>
            </w:r>
            <w:r w:rsidR="00CC493E">
              <w:t xml:space="preserve">A limited quantity of the newly revised </w:t>
            </w:r>
            <w:r w:rsidR="00CC493E" w:rsidRPr="00CC493E">
              <w:rPr>
                <w:i/>
              </w:rPr>
              <w:t>Parent Guide for Partnership in Special Education</w:t>
            </w:r>
            <w:r w:rsidR="00CC493E">
              <w:t xml:space="preserve"> is being printed by Correctional Industries for distribution at the Conference.  SEAC members will be asked to review the </w:t>
            </w:r>
            <w:r w:rsidR="00CC493E" w:rsidRPr="00CC493E">
              <w:rPr>
                <w:i/>
              </w:rPr>
              <w:t>Guide</w:t>
            </w:r>
            <w:r w:rsidR="00CC493E">
              <w:t xml:space="preserve"> prior to the next printing for possible revision.</w:t>
            </w:r>
          </w:p>
        </w:tc>
        <w:tc>
          <w:tcPr>
            <w:tcW w:w="3060" w:type="dxa"/>
            <w:tcBorders>
              <w:top w:val="single" w:sz="6" w:space="0" w:color="auto"/>
              <w:left w:val="single" w:sz="6" w:space="0" w:color="auto"/>
              <w:bottom w:val="single" w:sz="6" w:space="0" w:color="auto"/>
              <w:right w:val="single" w:sz="6" w:space="0" w:color="auto"/>
            </w:tcBorders>
          </w:tcPr>
          <w:p w14:paraId="1DBB362E" w14:textId="4328B600" w:rsidR="00DE170C" w:rsidRPr="00DF7694" w:rsidRDefault="00CC493E" w:rsidP="00CC493E">
            <w:r>
              <w:t xml:space="preserve">Barbara Ioli volunteered to take the lead on the SEAC table to be also manned by </w:t>
            </w:r>
            <w:r w:rsidR="00916270">
              <w:t xml:space="preserve">Annette Cooper, </w:t>
            </w:r>
            <w:r>
              <w:t>Martha Guinan, Ivalee Sinclair and Tom Smith.</w:t>
            </w:r>
          </w:p>
        </w:tc>
      </w:tr>
      <w:tr w:rsidR="0098369B" w:rsidRPr="00DF7694" w14:paraId="11EE6EF3" w14:textId="77777777">
        <w:tc>
          <w:tcPr>
            <w:tcW w:w="2780" w:type="dxa"/>
            <w:tcBorders>
              <w:top w:val="single" w:sz="6" w:space="0" w:color="auto"/>
              <w:left w:val="single" w:sz="6" w:space="0" w:color="auto"/>
              <w:bottom w:val="single" w:sz="6" w:space="0" w:color="auto"/>
              <w:right w:val="single" w:sz="6" w:space="0" w:color="auto"/>
            </w:tcBorders>
          </w:tcPr>
          <w:p w14:paraId="34D6C781" w14:textId="6D28A725" w:rsidR="0098369B" w:rsidRDefault="006D3814">
            <w:pPr>
              <w:widowControl w:val="0"/>
              <w:spacing w:line="240" w:lineRule="exact"/>
              <w:rPr>
                <w:b/>
              </w:rPr>
            </w:pPr>
            <w:r>
              <w:rPr>
                <w:b/>
              </w:rPr>
              <w:t xml:space="preserve">Preparation for </w:t>
            </w:r>
            <w:r w:rsidR="00CC493E">
              <w:rPr>
                <w:b/>
              </w:rPr>
              <w:t>SEAC Elections</w:t>
            </w:r>
          </w:p>
        </w:tc>
        <w:tc>
          <w:tcPr>
            <w:tcW w:w="7380" w:type="dxa"/>
            <w:tcBorders>
              <w:top w:val="single" w:sz="6" w:space="0" w:color="auto"/>
              <w:left w:val="single" w:sz="6" w:space="0" w:color="auto"/>
              <w:bottom w:val="single" w:sz="6" w:space="0" w:color="auto"/>
              <w:right w:val="single" w:sz="6" w:space="0" w:color="auto"/>
            </w:tcBorders>
          </w:tcPr>
          <w:p w14:paraId="2EB06EEA" w14:textId="6AEC9FF2" w:rsidR="00660E2C" w:rsidRPr="00660E2C" w:rsidRDefault="006D3814" w:rsidP="006D3814">
            <w:pPr>
              <w:pStyle w:val="Header"/>
              <w:tabs>
                <w:tab w:val="left" w:pos="752"/>
              </w:tabs>
              <w:rPr>
                <w:szCs w:val="24"/>
              </w:rPr>
            </w:pPr>
            <w:r>
              <w:rPr>
                <w:szCs w:val="24"/>
              </w:rPr>
              <w:t>Susan reminded members of Ivalee’s intention to step down as Chair of SEAC in May.  She asked for volunteers to serve on a Nominating Committee to identify candidates for Chair and Vice Chair.</w:t>
            </w:r>
          </w:p>
        </w:tc>
        <w:tc>
          <w:tcPr>
            <w:tcW w:w="3060" w:type="dxa"/>
            <w:tcBorders>
              <w:top w:val="single" w:sz="6" w:space="0" w:color="auto"/>
              <w:left w:val="single" w:sz="6" w:space="0" w:color="auto"/>
              <w:bottom w:val="single" w:sz="6" w:space="0" w:color="auto"/>
              <w:right w:val="single" w:sz="6" w:space="0" w:color="auto"/>
            </w:tcBorders>
          </w:tcPr>
          <w:p w14:paraId="419BD2B0" w14:textId="3261CE00" w:rsidR="00445A46" w:rsidRPr="00DF7694" w:rsidRDefault="006D3814">
            <w:r>
              <w:t>Bob Campbell, Tom Smith, and Kau`i Rezentes volunteered to serve.</w:t>
            </w:r>
          </w:p>
        </w:tc>
      </w:tr>
      <w:tr w:rsidR="00343C1A" w:rsidRPr="00DF7694" w14:paraId="0CC92BAA" w14:textId="77777777">
        <w:tc>
          <w:tcPr>
            <w:tcW w:w="2780" w:type="dxa"/>
            <w:tcBorders>
              <w:top w:val="single" w:sz="6" w:space="0" w:color="auto"/>
              <w:left w:val="single" w:sz="6" w:space="0" w:color="auto"/>
              <w:bottom w:val="single" w:sz="6" w:space="0" w:color="auto"/>
              <w:right w:val="single" w:sz="6" w:space="0" w:color="auto"/>
            </w:tcBorders>
          </w:tcPr>
          <w:p w14:paraId="03231EEC" w14:textId="4BA12BC7" w:rsidR="00343C1A" w:rsidRDefault="006D3814" w:rsidP="00390F0C">
            <w:pPr>
              <w:widowControl w:val="0"/>
              <w:spacing w:line="240" w:lineRule="exact"/>
              <w:rPr>
                <w:b/>
              </w:rPr>
            </w:pPr>
            <w:r>
              <w:rPr>
                <w:b/>
              </w:rPr>
              <w:t>Introductions</w:t>
            </w:r>
          </w:p>
        </w:tc>
        <w:tc>
          <w:tcPr>
            <w:tcW w:w="7380" w:type="dxa"/>
            <w:tcBorders>
              <w:top w:val="single" w:sz="6" w:space="0" w:color="auto"/>
              <w:left w:val="single" w:sz="6" w:space="0" w:color="auto"/>
              <w:bottom w:val="single" w:sz="6" w:space="0" w:color="auto"/>
              <w:right w:val="single" w:sz="6" w:space="0" w:color="auto"/>
            </w:tcBorders>
          </w:tcPr>
          <w:p w14:paraId="7565F183" w14:textId="454E13C5" w:rsidR="006D3814" w:rsidRPr="00660E2C" w:rsidRDefault="006D3814" w:rsidP="00F61D32">
            <w:pPr>
              <w:pStyle w:val="Header"/>
              <w:tabs>
                <w:tab w:val="left" w:pos="752"/>
              </w:tabs>
              <w:rPr>
                <w:szCs w:val="24"/>
              </w:rPr>
            </w:pPr>
            <w:r>
              <w:rPr>
                <w:szCs w:val="24"/>
              </w:rPr>
              <w:t>Members and frequent visitor Brian De Lima introduced themselves to guests Stephanie Shipton</w:t>
            </w:r>
            <w:r w:rsidR="00EF2CD1">
              <w:rPr>
                <w:szCs w:val="24"/>
              </w:rPr>
              <w:t>, Director of Policy, Innovation, Planning and Evaluation</w:t>
            </w:r>
            <w:r w:rsidR="00AA63B4">
              <w:rPr>
                <w:szCs w:val="24"/>
              </w:rPr>
              <w:t>,</w:t>
            </w:r>
            <w:r>
              <w:rPr>
                <w:szCs w:val="24"/>
              </w:rPr>
              <w:t xml:space="preserve"> Malia Espinda,</w:t>
            </w:r>
            <w:r w:rsidR="00AA63B4">
              <w:rPr>
                <w:szCs w:val="24"/>
              </w:rPr>
              <w:t xml:space="preserve"> Government Affairs Specialist</w:t>
            </w:r>
            <w:r w:rsidR="008D1746">
              <w:rPr>
                <w:szCs w:val="24"/>
              </w:rPr>
              <w:t>,</w:t>
            </w:r>
            <w:r w:rsidR="00AA63B4">
              <w:rPr>
                <w:szCs w:val="24"/>
              </w:rPr>
              <w:t xml:space="preserve"> and Ryan Guinan, son of Vice Chair Martha Guinan.</w:t>
            </w:r>
          </w:p>
        </w:tc>
        <w:tc>
          <w:tcPr>
            <w:tcW w:w="3060" w:type="dxa"/>
            <w:tcBorders>
              <w:top w:val="single" w:sz="6" w:space="0" w:color="auto"/>
              <w:left w:val="single" w:sz="6" w:space="0" w:color="auto"/>
              <w:bottom w:val="single" w:sz="6" w:space="0" w:color="auto"/>
              <w:right w:val="single" w:sz="6" w:space="0" w:color="auto"/>
            </w:tcBorders>
          </w:tcPr>
          <w:p w14:paraId="12D447AE" w14:textId="77777777" w:rsidR="00343C1A" w:rsidRDefault="00343C1A" w:rsidP="00F61D32"/>
          <w:p w14:paraId="62EF2E1E" w14:textId="57207278" w:rsidR="006D3814" w:rsidRPr="00DF7694" w:rsidRDefault="006D3814" w:rsidP="00F61D32"/>
        </w:tc>
      </w:tr>
      <w:tr w:rsidR="00343C1A" w:rsidRPr="00DF7694" w14:paraId="620C1E6E" w14:textId="77777777">
        <w:tc>
          <w:tcPr>
            <w:tcW w:w="2780" w:type="dxa"/>
            <w:tcBorders>
              <w:top w:val="single" w:sz="6" w:space="0" w:color="auto"/>
              <w:left w:val="single" w:sz="6" w:space="0" w:color="auto"/>
              <w:bottom w:val="single" w:sz="6" w:space="0" w:color="auto"/>
              <w:right w:val="single" w:sz="6" w:space="0" w:color="auto"/>
            </w:tcBorders>
          </w:tcPr>
          <w:p w14:paraId="1C9CC86A" w14:textId="0C7FE576" w:rsidR="00343C1A" w:rsidRDefault="00AA63B4" w:rsidP="008016BB">
            <w:pPr>
              <w:widowControl w:val="0"/>
              <w:spacing w:line="240" w:lineRule="exact"/>
              <w:rPr>
                <w:b/>
              </w:rPr>
            </w:pPr>
            <w:r>
              <w:rPr>
                <w:b/>
              </w:rPr>
              <w:t>Report from the Special Education Director</w:t>
            </w:r>
          </w:p>
        </w:tc>
        <w:tc>
          <w:tcPr>
            <w:tcW w:w="7380" w:type="dxa"/>
            <w:tcBorders>
              <w:top w:val="single" w:sz="6" w:space="0" w:color="auto"/>
              <w:left w:val="single" w:sz="6" w:space="0" w:color="auto"/>
              <w:bottom w:val="single" w:sz="6" w:space="0" w:color="auto"/>
              <w:right w:val="single" w:sz="6" w:space="0" w:color="auto"/>
            </w:tcBorders>
          </w:tcPr>
          <w:p w14:paraId="21928496" w14:textId="77777777" w:rsidR="008016BB" w:rsidRDefault="00AA63B4" w:rsidP="00F61D32">
            <w:pPr>
              <w:pStyle w:val="Header"/>
              <w:tabs>
                <w:tab w:val="left" w:pos="752"/>
              </w:tabs>
              <w:rPr>
                <w:szCs w:val="24"/>
              </w:rPr>
            </w:pPr>
            <w:r>
              <w:rPr>
                <w:szCs w:val="24"/>
              </w:rPr>
              <w:t>Martha Guinan read a written report from Shari Dela Cuadra-Larsen who was unable to attend due to illness.  It included the following:</w:t>
            </w:r>
          </w:p>
          <w:p w14:paraId="332AB882" w14:textId="77777777" w:rsidR="00AA63B4" w:rsidRPr="00AA63B4" w:rsidRDefault="00AA63B4" w:rsidP="00F61D32">
            <w:pPr>
              <w:pStyle w:val="Header"/>
              <w:tabs>
                <w:tab w:val="left" w:pos="752"/>
              </w:tabs>
              <w:rPr>
                <w:szCs w:val="24"/>
                <w:u w:val="single"/>
              </w:rPr>
            </w:pPr>
            <w:r w:rsidRPr="00AA63B4">
              <w:rPr>
                <w:szCs w:val="24"/>
                <w:u w:val="single"/>
              </w:rPr>
              <w:t>Application for Part B funds</w:t>
            </w:r>
          </w:p>
          <w:p w14:paraId="70D03873" w14:textId="77777777" w:rsidR="00AA63B4" w:rsidRDefault="00AA63B4" w:rsidP="00F61D32">
            <w:pPr>
              <w:pStyle w:val="Header"/>
              <w:tabs>
                <w:tab w:val="left" w:pos="752"/>
              </w:tabs>
              <w:rPr>
                <w:szCs w:val="24"/>
              </w:rPr>
            </w:pPr>
            <w:r>
              <w:rPr>
                <w:szCs w:val="24"/>
              </w:rPr>
              <w:t>Hawaii’s application for Part B IDEA funds is due in Washington on May 12</w:t>
            </w:r>
            <w:r w:rsidRPr="00AA63B4">
              <w:rPr>
                <w:szCs w:val="24"/>
                <w:vertAlign w:val="superscript"/>
              </w:rPr>
              <w:t>th</w:t>
            </w:r>
            <w:r>
              <w:rPr>
                <w:szCs w:val="24"/>
              </w:rPr>
              <w:t>.  The public comment period closed on April 13</w:t>
            </w:r>
            <w:r w:rsidRPr="00AA63B4">
              <w:rPr>
                <w:szCs w:val="24"/>
                <w:vertAlign w:val="superscript"/>
              </w:rPr>
              <w:t>th</w:t>
            </w:r>
            <w:r>
              <w:rPr>
                <w:szCs w:val="24"/>
              </w:rPr>
              <w:t>.</w:t>
            </w:r>
          </w:p>
          <w:p w14:paraId="06289CEB" w14:textId="77777777" w:rsidR="00AA63B4" w:rsidRDefault="00AA63B4" w:rsidP="00F61D32">
            <w:pPr>
              <w:pStyle w:val="Header"/>
              <w:tabs>
                <w:tab w:val="left" w:pos="752"/>
              </w:tabs>
              <w:rPr>
                <w:szCs w:val="24"/>
                <w:u w:val="single"/>
              </w:rPr>
            </w:pPr>
            <w:r w:rsidRPr="00AA63B4">
              <w:rPr>
                <w:szCs w:val="24"/>
                <w:u w:val="single"/>
              </w:rPr>
              <w:t>SSIP</w:t>
            </w:r>
          </w:p>
          <w:p w14:paraId="45C15210" w14:textId="00112865" w:rsidR="00AA63B4" w:rsidRPr="00AA63B4" w:rsidRDefault="00AA63B4" w:rsidP="008D1746">
            <w:pPr>
              <w:pStyle w:val="Header"/>
              <w:tabs>
                <w:tab w:val="left" w:pos="752"/>
              </w:tabs>
              <w:rPr>
                <w:szCs w:val="24"/>
              </w:rPr>
            </w:pPr>
            <w:r w:rsidRPr="00AA63B4">
              <w:rPr>
                <w:szCs w:val="24"/>
              </w:rPr>
              <w:t xml:space="preserve">The </w:t>
            </w:r>
            <w:r>
              <w:rPr>
                <w:szCs w:val="24"/>
              </w:rPr>
              <w:t>Phase I SSIP was submitted on April 1, 2015, and Sha</w:t>
            </w:r>
            <w:r w:rsidR="008D1746">
              <w:rPr>
                <w:szCs w:val="24"/>
              </w:rPr>
              <w:t>ri</w:t>
            </w:r>
            <w:r>
              <w:rPr>
                <w:szCs w:val="24"/>
              </w:rPr>
              <w:t xml:space="preserve"> will inform SEAC when OSEP responds.  If anyone wants to discuss the process, they are free to contact Shari.  Phase II of the plan is due on February 1, 2016.  Details of what will be required are not available.  SEAC can choose to </w:t>
            </w:r>
          </w:p>
        </w:tc>
        <w:tc>
          <w:tcPr>
            <w:tcW w:w="3060" w:type="dxa"/>
            <w:tcBorders>
              <w:top w:val="single" w:sz="6" w:space="0" w:color="auto"/>
              <w:left w:val="single" w:sz="6" w:space="0" w:color="auto"/>
              <w:bottom w:val="single" w:sz="6" w:space="0" w:color="auto"/>
              <w:right w:val="single" w:sz="6" w:space="0" w:color="auto"/>
            </w:tcBorders>
          </w:tcPr>
          <w:p w14:paraId="24761B90" w14:textId="7E429843" w:rsidR="00343C1A" w:rsidRPr="00DF7694" w:rsidRDefault="00343C1A"/>
        </w:tc>
      </w:tr>
    </w:tbl>
    <w:p w14:paraId="05F847DE" w14:textId="08F52461" w:rsidR="000A7A03" w:rsidRPr="00DF7694" w:rsidRDefault="000A7A03">
      <w:r w:rsidRPr="00DF7694">
        <w:br w:type="page"/>
      </w:r>
      <w:r w:rsidRPr="00DF7694">
        <w:lastRenderedPageBreak/>
        <w:t xml:space="preserve">SEAC Minutes </w:t>
      </w:r>
    </w:p>
    <w:p w14:paraId="20E9C453" w14:textId="49C9BF94" w:rsidR="000A7A03" w:rsidRPr="00DF7694" w:rsidRDefault="0041010E">
      <w:pPr>
        <w:pStyle w:val="Header"/>
        <w:tabs>
          <w:tab w:val="left" w:pos="720"/>
        </w:tabs>
      </w:pPr>
      <w:r>
        <w:t>April 17</w:t>
      </w:r>
      <w:r w:rsidR="00867DC3">
        <w:t>, 2015</w:t>
      </w:r>
    </w:p>
    <w:p w14:paraId="431D723A" w14:textId="77777777" w:rsidR="000A7A03" w:rsidRDefault="000A7A03">
      <w:r w:rsidRPr="00DF7694">
        <w:t>Page 2</w:t>
      </w:r>
    </w:p>
    <w:p w14:paraId="5BB3FF40" w14:textId="77777777" w:rsidR="00867DC3" w:rsidRPr="00DF7694" w:rsidRDefault="00867DC3"/>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6B045C1B" w14:textId="77777777" w:rsidTr="00706CE5">
        <w:tc>
          <w:tcPr>
            <w:tcW w:w="2780" w:type="dxa"/>
            <w:tcBorders>
              <w:top w:val="single" w:sz="6" w:space="0" w:color="auto"/>
              <w:left w:val="single" w:sz="6" w:space="0" w:color="auto"/>
              <w:bottom w:val="single" w:sz="6" w:space="0" w:color="auto"/>
              <w:right w:val="single" w:sz="6" w:space="0" w:color="auto"/>
            </w:tcBorders>
            <w:hideMark/>
          </w:tcPr>
          <w:p w14:paraId="23540E79" w14:textId="1EA16420" w:rsidR="000A7A03" w:rsidRPr="00DF7694" w:rsidRDefault="007E5329" w:rsidP="00343C1A">
            <w:pPr>
              <w:widowControl w:val="0"/>
              <w:spacing w:line="240" w:lineRule="exact"/>
              <w:rPr>
                <w:b/>
              </w:rPr>
            </w:pPr>
            <w:r>
              <w:rPr>
                <w:b/>
              </w:rPr>
              <w:t>Report from the Special Education Director (cont.)</w:t>
            </w:r>
          </w:p>
        </w:tc>
        <w:tc>
          <w:tcPr>
            <w:tcW w:w="7380" w:type="dxa"/>
            <w:tcBorders>
              <w:top w:val="single" w:sz="6" w:space="0" w:color="auto"/>
              <w:left w:val="single" w:sz="6" w:space="0" w:color="auto"/>
              <w:bottom w:val="single" w:sz="6" w:space="0" w:color="auto"/>
              <w:right w:val="single" w:sz="6" w:space="0" w:color="auto"/>
            </w:tcBorders>
            <w:hideMark/>
          </w:tcPr>
          <w:p w14:paraId="763FCBEE" w14:textId="77777777" w:rsidR="000F5165" w:rsidRDefault="007E5329" w:rsidP="007C4B77">
            <w:pPr>
              <w:rPr>
                <w:szCs w:val="24"/>
              </w:rPr>
            </w:pPr>
            <w:r>
              <w:rPr>
                <w:szCs w:val="24"/>
              </w:rPr>
              <w:t>include all SEAC members in the process or limit participation to the SSIP Subgroup.</w:t>
            </w:r>
          </w:p>
          <w:p w14:paraId="1A41F94D" w14:textId="77777777" w:rsidR="007E5329" w:rsidRPr="00712207" w:rsidRDefault="007E5329" w:rsidP="007C4B77">
            <w:pPr>
              <w:rPr>
                <w:szCs w:val="24"/>
                <w:u w:val="single"/>
              </w:rPr>
            </w:pPr>
            <w:r w:rsidRPr="00712207">
              <w:rPr>
                <w:szCs w:val="24"/>
                <w:u w:val="single"/>
              </w:rPr>
              <w:t>WestEd Report Follow-Up</w:t>
            </w:r>
          </w:p>
          <w:p w14:paraId="2099491B" w14:textId="77777777" w:rsidR="007E5329" w:rsidRDefault="007E5329" w:rsidP="00712207">
            <w:pPr>
              <w:rPr>
                <w:szCs w:val="24"/>
              </w:rPr>
            </w:pPr>
            <w:r>
              <w:rPr>
                <w:szCs w:val="24"/>
              </w:rPr>
              <w:t xml:space="preserve">The Department is planning </w:t>
            </w:r>
            <w:r w:rsidR="00712207">
              <w:rPr>
                <w:szCs w:val="24"/>
              </w:rPr>
              <w:t xml:space="preserve">a </w:t>
            </w:r>
            <w:r>
              <w:rPr>
                <w:szCs w:val="24"/>
              </w:rPr>
              <w:t>presentation of its implementation activities on the WestEd recommendations since April 11, 2013, when it last reported to the Board of Education.</w:t>
            </w:r>
            <w:r w:rsidR="00712207">
              <w:rPr>
                <w:szCs w:val="24"/>
              </w:rPr>
              <w:t xml:space="preserve">  Members with questions are encouraged to contact Shari.</w:t>
            </w:r>
          </w:p>
          <w:p w14:paraId="26EBD483" w14:textId="77777777" w:rsidR="00712207" w:rsidRDefault="00712207" w:rsidP="00712207">
            <w:pPr>
              <w:rPr>
                <w:szCs w:val="24"/>
                <w:u w:val="single"/>
              </w:rPr>
            </w:pPr>
            <w:r w:rsidRPr="00712207">
              <w:rPr>
                <w:szCs w:val="24"/>
                <w:u w:val="single"/>
              </w:rPr>
              <w:t>Questions/comments from members</w:t>
            </w:r>
            <w:r>
              <w:rPr>
                <w:szCs w:val="24"/>
                <w:u w:val="single"/>
              </w:rPr>
              <w:t>:</w:t>
            </w:r>
          </w:p>
          <w:p w14:paraId="32F5C562" w14:textId="77777777" w:rsidR="00712207" w:rsidRDefault="00712207" w:rsidP="00712207">
            <w:pPr>
              <w:rPr>
                <w:szCs w:val="24"/>
              </w:rPr>
            </w:pPr>
            <w:r w:rsidRPr="00712207">
              <w:rPr>
                <w:szCs w:val="24"/>
              </w:rPr>
              <w:t xml:space="preserve">C. </w:t>
            </w:r>
            <w:r>
              <w:rPr>
                <w:szCs w:val="24"/>
              </w:rPr>
              <w:t>The SSIP is 140 pages long including the appendices and contains some interesting statistics.</w:t>
            </w:r>
          </w:p>
          <w:p w14:paraId="37C43538" w14:textId="77777777" w:rsidR="00712207" w:rsidRDefault="00712207" w:rsidP="00712207">
            <w:pPr>
              <w:rPr>
                <w:szCs w:val="24"/>
              </w:rPr>
            </w:pPr>
            <w:r>
              <w:rPr>
                <w:szCs w:val="24"/>
              </w:rPr>
              <w:t>Q.  Does the SSIP mention the results of general supervision?  A.  (Ivalee) No.  It is my understanding that Shari did a desk-top review, but I do not know the results.</w:t>
            </w:r>
          </w:p>
          <w:p w14:paraId="63DB4667" w14:textId="7D3A7524" w:rsidR="0003765A" w:rsidRPr="00712207" w:rsidRDefault="0003765A" w:rsidP="00712207">
            <w:pPr>
              <w:rPr>
                <w:szCs w:val="24"/>
              </w:rPr>
            </w:pPr>
            <w:r>
              <w:rPr>
                <w:szCs w:val="24"/>
              </w:rPr>
              <w:t>C.  It would be good to have Shari present on the general supervision data.</w:t>
            </w:r>
          </w:p>
        </w:tc>
        <w:tc>
          <w:tcPr>
            <w:tcW w:w="3060" w:type="dxa"/>
            <w:tcBorders>
              <w:top w:val="single" w:sz="6" w:space="0" w:color="auto"/>
              <w:left w:val="single" w:sz="6" w:space="0" w:color="auto"/>
              <w:bottom w:val="single" w:sz="6" w:space="0" w:color="auto"/>
              <w:right w:val="single" w:sz="6" w:space="0" w:color="auto"/>
            </w:tcBorders>
          </w:tcPr>
          <w:p w14:paraId="27650F30" w14:textId="6B0F01CC" w:rsidR="002666C7" w:rsidRPr="002666C7" w:rsidRDefault="000F5165" w:rsidP="007C4B77">
            <w:r>
              <w:t xml:space="preserve"> </w:t>
            </w:r>
          </w:p>
        </w:tc>
      </w:tr>
      <w:tr w:rsidR="0003765A" w:rsidRPr="00DF7694" w14:paraId="07E039FA" w14:textId="77777777" w:rsidTr="00706CE5">
        <w:tc>
          <w:tcPr>
            <w:tcW w:w="2780" w:type="dxa"/>
            <w:tcBorders>
              <w:top w:val="single" w:sz="6" w:space="0" w:color="auto"/>
              <w:left w:val="single" w:sz="6" w:space="0" w:color="auto"/>
              <w:bottom w:val="single" w:sz="6" w:space="0" w:color="auto"/>
              <w:right w:val="single" w:sz="6" w:space="0" w:color="auto"/>
            </w:tcBorders>
          </w:tcPr>
          <w:p w14:paraId="537151C6" w14:textId="45D8FF06" w:rsidR="0003765A" w:rsidRDefault="0003765A" w:rsidP="00343C1A">
            <w:pPr>
              <w:widowControl w:val="0"/>
              <w:spacing w:line="240" w:lineRule="exact"/>
              <w:rPr>
                <w:b/>
              </w:rPr>
            </w:pPr>
            <w:r>
              <w:rPr>
                <w:b/>
              </w:rPr>
              <w:t>Application for Part B Funds</w:t>
            </w:r>
          </w:p>
        </w:tc>
        <w:tc>
          <w:tcPr>
            <w:tcW w:w="7380" w:type="dxa"/>
            <w:tcBorders>
              <w:top w:val="single" w:sz="6" w:space="0" w:color="auto"/>
              <w:left w:val="single" w:sz="6" w:space="0" w:color="auto"/>
              <w:bottom w:val="single" w:sz="6" w:space="0" w:color="auto"/>
              <w:right w:val="single" w:sz="6" w:space="0" w:color="auto"/>
            </w:tcBorders>
          </w:tcPr>
          <w:p w14:paraId="3D5AF1CC" w14:textId="1936FAC9" w:rsidR="0003765A" w:rsidRDefault="0003765A" w:rsidP="0009640F">
            <w:pPr>
              <w:rPr>
                <w:szCs w:val="24"/>
              </w:rPr>
            </w:pPr>
            <w:r>
              <w:rPr>
                <w:szCs w:val="24"/>
              </w:rPr>
              <w:t>Ivalee reported that Susan compared the latest request for IDEA funds to the 2014 application where SEAC’s input on where to categorically spend discretionary funds was incorporated into the Department’s final request.  Although SEAC was not asked to participate again in this effort, it appears that the D</w:t>
            </w:r>
            <w:r w:rsidR="0009640F">
              <w:rPr>
                <w:szCs w:val="24"/>
              </w:rPr>
              <w:t>epartment utilized SEAC’s previ</w:t>
            </w:r>
            <w:r>
              <w:rPr>
                <w:szCs w:val="24"/>
              </w:rPr>
              <w:t xml:space="preserve">ous </w:t>
            </w:r>
            <w:r w:rsidR="0009640F">
              <w:rPr>
                <w:szCs w:val="24"/>
              </w:rPr>
              <w:t>guidance</w:t>
            </w:r>
            <w:r>
              <w:rPr>
                <w:szCs w:val="24"/>
              </w:rPr>
              <w:t xml:space="preserve"> in distributing available funds</w:t>
            </w:r>
            <w:r w:rsidR="0009640F">
              <w:rPr>
                <w:szCs w:val="24"/>
              </w:rPr>
              <w:t>.  The amount of funding increased</w:t>
            </w:r>
            <w:r>
              <w:rPr>
                <w:szCs w:val="24"/>
              </w:rPr>
              <w:t xml:space="preserve"> slightly </w:t>
            </w:r>
            <w:r w:rsidR="0009640F">
              <w:rPr>
                <w:szCs w:val="24"/>
              </w:rPr>
              <w:t>from</w:t>
            </w:r>
            <w:r>
              <w:rPr>
                <w:szCs w:val="24"/>
              </w:rPr>
              <w:t xml:space="preserve"> last year.</w:t>
            </w:r>
          </w:p>
        </w:tc>
        <w:tc>
          <w:tcPr>
            <w:tcW w:w="3060" w:type="dxa"/>
            <w:tcBorders>
              <w:top w:val="single" w:sz="6" w:space="0" w:color="auto"/>
              <w:left w:val="single" w:sz="6" w:space="0" w:color="auto"/>
              <w:bottom w:val="single" w:sz="6" w:space="0" w:color="auto"/>
              <w:right w:val="single" w:sz="6" w:space="0" w:color="auto"/>
            </w:tcBorders>
          </w:tcPr>
          <w:p w14:paraId="64FAE2EB" w14:textId="77777777" w:rsidR="0003765A" w:rsidRDefault="0003765A" w:rsidP="007C4B77"/>
        </w:tc>
      </w:tr>
      <w:tr w:rsidR="0009640F" w:rsidRPr="00DF7694" w14:paraId="238BBD38" w14:textId="77777777" w:rsidTr="00706CE5">
        <w:tc>
          <w:tcPr>
            <w:tcW w:w="2780" w:type="dxa"/>
            <w:tcBorders>
              <w:top w:val="single" w:sz="6" w:space="0" w:color="auto"/>
              <w:left w:val="single" w:sz="6" w:space="0" w:color="auto"/>
              <w:bottom w:val="single" w:sz="6" w:space="0" w:color="auto"/>
              <w:right w:val="single" w:sz="6" w:space="0" w:color="auto"/>
            </w:tcBorders>
          </w:tcPr>
          <w:p w14:paraId="738DA540" w14:textId="569129A8" w:rsidR="0009640F" w:rsidRDefault="0009640F" w:rsidP="00343C1A">
            <w:pPr>
              <w:widowControl w:val="0"/>
              <w:spacing w:line="240" w:lineRule="exact"/>
              <w:rPr>
                <w:b/>
              </w:rPr>
            </w:pPr>
            <w:r>
              <w:rPr>
                <w:b/>
              </w:rPr>
              <w:t>Report on the April 10</w:t>
            </w:r>
            <w:r w:rsidRPr="0009640F">
              <w:rPr>
                <w:b/>
                <w:vertAlign w:val="superscript"/>
              </w:rPr>
              <w:t>th</w:t>
            </w:r>
            <w:r>
              <w:rPr>
                <w:b/>
              </w:rPr>
              <w:t xml:space="preserve"> Legislative Briefing</w:t>
            </w:r>
          </w:p>
        </w:tc>
        <w:tc>
          <w:tcPr>
            <w:tcW w:w="7380" w:type="dxa"/>
            <w:tcBorders>
              <w:top w:val="single" w:sz="6" w:space="0" w:color="auto"/>
              <w:left w:val="single" w:sz="6" w:space="0" w:color="auto"/>
              <w:bottom w:val="single" w:sz="6" w:space="0" w:color="auto"/>
              <w:right w:val="single" w:sz="6" w:space="0" w:color="auto"/>
            </w:tcBorders>
          </w:tcPr>
          <w:p w14:paraId="1C096ED4" w14:textId="421F071D" w:rsidR="0009640F" w:rsidRDefault="0009640F" w:rsidP="004726C0">
            <w:pPr>
              <w:rPr>
                <w:szCs w:val="24"/>
              </w:rPr>
            </w:pPr>
            <w:r>
              <w:rPr>
                <w:szCs w:val="24"/>
              </w:rPr>
              <w:t xml:space="preserve">Ivalee reported that the House of Representatives was dismissed right before the briefing which may have impacted the number of attendees.  Ronn Nozoe presented for the Department first and Ivalee presented for SEAC.  </w:t>
            </w:r>
            <w:r w:rsidR="004726C0">
              <w:rPr>
                <w:szCs w:val="24"/>
              </w:rPr>
              <w:t>SEAC’s</w:t>
            </w:r>
            <w:r>
              <w:rPr>
                <w:szCs w:val="24"/>
              </w:rPr>
              <w:t xml:space="preserve"> presentation showed comparisons of Hawaii’s poor special education student performance compared to similar sized states and districts and the growing gap between general education and special educa</w:t>
            </w:r>
            <w:r w:rsidR="004726C0">
              <w:rPr>
                <w:szCs w:val="24"/>
              </w:rPr>
              <w:t>ti</w:t>
            </w:r>
            <w:r>
              <w:rPr>
                <w:szCs w:val="24"/>
              </w:rPr>
              <w:t>on proficiency.  It then addressed key WestEd recommendations that have not been implemented</w:t>
            </w:r>
            <w:r w:rsidR="005853DB">
              <w:rPr>
                <w:szCs w:val="24"/>
              </w:rPr>
              <w:t>.  The legislators in the briefing responded positively to SEAC’s input and asked some hard questions of the Department.  Ronn admitted that the Department lacked capacity to address some of the problems.  Ivalee has asked Senator Kidani and Representative Takumi for a work group to address next steps.</w:t>
            </w:r>
          </w:p>
        </w:tc>
        <w:tc>
          <w:tcPr>
            <w:tcW w:w="3060" w:type="dxa"/>
            <w:tcBorders>
              <w:top w:val="single" w:sz="6" w:space="0" w:color="auto"/>
              <w:left w:val="single" w:sz="6" w:space="0" w:color="auto"/>
              <w:bottom w:val="single" w:sz="6" w:space="0" w:color="auto"/>
              <w:right w:val="single" w:sz="6" w:space="0" w:color="auto"/>
            </w:tcBorders>
          </w:tcPr>
          <w:p w14:paraId="30ED881E" w14:textId="77777777" w:rsidR="0009640F" w:rsidRDefault="0009640F" w:rsidP="007C4B77"/>
        </w:tc>
      </w:tr>
    </w:tbl>
    <w:p w14:paraId="214E7671" w14:textId="19A21666" w:rsidR="000A7A03" w:rsidRPr="00DF7694" w:rsidRDefault="000A7A03">
      <w:r w:rsidRPr="00DF7694">
        <w:br w:type="page"/>
        <w:t>SEAC Minutes</w:t>
      </w:r>
    </w:p>
    <w:p w14:paraId="5A227FA0" w14:textId="50D05C65" w:rsidR="000A7A03" w:rsidRPr="00DF7694" w:rsidRDefault="00125621">
      <w:r>
        <w:t>April 17</w:t>
      </w:r>
      <w:r w:rsidR="00867DC3">
        <w:t>, 2015</w:t>
      </w:r>
    </w:p>
    <w:p w14:paraId="78870E43" w14:textId="77777777" w:rsidR="000A7A03" w:rsidRDefault="000A7A03">
      <w:r w:rsidRPr="00DF7694">
        <w:t>Page 3</w:t>
      </w:r>
    </w:p>
    <w:p w14:paraId="703B2B2E" w14:textId="77777777" w:rsidR="008E11B8" w:rsidRPr="00DF7694" w:rsidRDefault="008E11B8"/>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749CC305" w14:textId="77777777">
        <w:tc>
          <w:tcPr>
            <w:tcW w:w="2780" w:type="dxa"/>
            <w:tcBorders>
              <w:top w:val="single" w:sz="6" w:space="0" w:color="auto"/>
              <w:left w:val="single" w:sz="6" w:space="0" w:color="auto"/>
              <w:bottom w:val="single" w:sz="6" w:space="0" w:color="auto"/>
              <w:right w:val="single" w:sz="6" w:space="0" w:color="auto"/>
            </w:tcBorders>
            <w:hideMark/>
          </w:tcPr>
          <w:p w14:paraId="28F473E1" w14:textId="2B76BE28" w:rsidR="000A7A03" w:rsidRPr="00DF7694" w:rsidRDefault="005853DB">
            <w:pPr>
              <w:widowControl w:val="0"/>
              <w:spacing w:line="240" w:lineRule="exact"/>
              <w:rPr>
                <w:b/>
              </w:rPr>
            </w:pPr>
            <w:r>
              <w:rPr>
                <w:b/>
              </w:rPr>
              <w:t>Report on the April 10</w:t>
            </w:r>
            <w:r w:rsidRPr="0009640F">
              <w:rPr>
                <w:b/>
                <w:vertAlign w:val="superscript"/>
              </w:rPr>
              <w:t>th</w:t>
            </w:r>
            <w:r>
              <w:rPr>
                <w:b/>
              </w:rPr>
              <w:t xml:space="preserve"> Legislative Briefing (cont.)</w:t>
            </w:r>
          </w:p>
        </w:tc>
        <w:tc>
          <w:tcPr>
            <w:tcW w:w="7380" w:type="dxa"/>
            <w:tcBorders>
              <w:top w:val="single" w:sz="6" w:space="0" w:color="auto"/>
              <w:left w:val="single" w:sz="6" w:space="0" w:color="auto"/>
              <w:bottom w:val="single" w:sz="6" w:space="0" w:color="auto"/>
              <w:right w:val="single" w:sz="6" w:space="0" w:color="auto"/>
            </w:tcBorders>
            <w:hideMark/>
          </w:tcPr>
          <w:p w14:paraId="0569C187" w14:textId="77777777" w:rsidR="00161F70" w:rsidRPr="005853DB" w:rsidRDefault="005853DB" w:rsidP="000F5165">
            <w:pPr>
              <w:pStyle w:val="Header"/>
              <w:tabs>
                <w:tab w:val="left" w:pos="720"/>
              </w:tabs>
              <w:rPr>
                <w:u w:val="single"/>
              </w:rPr>
            </w:pPr>
            <w:r w:rsidRPr="005853DB">
              <w:rPr>
                <w:u w:val="single"/>
              </w:rPr>
              <w:t>Comments/questions from members and guests:</w:t>
            </w:r>
          </w:p>
          <w:p w14:paraId="5C29D9E0" w14:textId="3C594AC6" w:rsidR="005853DB" w:rsidRDefault="005853DB" w:rsidP="000F5165">
            <w:pPr>
              <w:pStyle w:val="Header"/>
              <w:tabs>
                <w:tab w:val="left" w:pos="720"/>
              </w:tabs>
            </w:pPr>
            <w:r>
              <w:t>C.  It was clear from Ronn’s attitude that he discounted WestEd’s report for several reasons.  However, Takumi asked for an explanation of why the Department ignored the recommendations of the consultants they hired.</w:t>
            </w:r>
          </w:p>
          <w:p w14:paraId="2E8D955D" w14:textId="77777777" w:rsidR="005853DB" w:rsidRDefault="005853DB" w:rsidP="005853DB">
            <w:pPr>
              <w:pStyle w:val="Header"/>
              <w:tabs>
                <w:tab w:val="left" w:pos="720"/>
              </w:tabs>
            </w:pPr>
            <w:r>
              <w:t>C.  I was shocked to hear from the legislator who appeared to be advocating for grouping kids with disabilities to save resources.</w:t>
            </w:r>
          </w:p>
          <w:p w14:paraId="7721E56C" w14:textId="77777777" w:rsidR="005853DB" w:rsidRDefault="005853DB" w:rsidP="00295BBD">
            <w:pPr>
              <w:pStyle w:val="Header"/>
              <w:tabs>
                <w:tab w:val="left" w:pos="720"/>
              </w:tabs>
            </w:pPr>
            <w:r>
              <w:t xml:space="preserve">C.  The Department </w:t>
            </w:r>
            <w:r w:rsidR="00295BBD">
              <w:t>stated</w:t>
            </w:r>
            <w:r>
              <w:t xml:space="preserve"> that there is data showing progress, but it </w:t>
            </w:r>
            <w:r w:rsidR="00295BBD">
              <w:t>has</w:t>
            </w:r>
            <w:r>
              <w:t xml:space="preserve"> not </w:t>
            </w:r>
            <w:r w:rsidR="00295BBD">
              <w:t xml:space="preserve">been made </w:t>
            </w:r>
            <w:r>
              <w:t xml:space="preserve">available to us.  I hope that one of the results of the briefing will be </w:t>
            </w:r>
            <w:r w:rsidR="00295BBD">
              <w:t>information that is more forthcoming.</w:t>
            </w:r>
          </w:p>
          <w:p w14:paraId="3C81ABF3" w14:textId="1CC534D4" w:rsidR="00295BBD" w:rsidRPr="00DF7694" w:rsidRDefault="00295BBD" w:rsidP="00295BBD">
            <w:pPr>
              <w:pStyle w:val="Header"/>
              <w:tabs>
                <w:tab w:val="left" w:pos="720"/>
              </w:tabs>
            </w:pPr>
            <w:r>
              <w:t>C.  The new Chair of the Student Achievement Committee is Patricia Halagao, and I think she will take on these challenges with a commitment to transparency.  I suggest that representatives from SEAC meet with her.</w:t>
            </w:r>
          </w:p>
        </w:tc>
        <w:tc>
          <w:tcPr>
            <w:tcW w:w="3060" w:type="dxa"/>
            <w:tcBorders>
              <w:top w:val="single" w:sz="6" w:space="0" w:color="auto"/>
              <w:left w:val="single" w:sz="6" w:space="0" w:color="auto"/>
              <w:bottom w:val="single" w:sz="6" w:space="0" w:color="auto"/>
              <w:right w:val="single" w:sz="6" w:space="0" w:color="auto"/>
            </w:tcBorders>
          </w:tcPr>
          <w:p w14:paraId="548862A2" w14:textId="77777777" w:rsidR="00291C41" w:rsidRDefault="00291C41"/>
          <w:p w14:paraId="0F3CD4D8" w14:textId="77777777" w:rsidR="00295BBD" w:rsidRDefault="00295BBD"/>
          <w:p w14:paraId="2BBE1CD7" w14:textId="77777777" w:rsidR="00295BBD" w:rsidRDefault="00295BBD"/>
          <w:p w14:paraId="37652AB0" w14:textId="77777777" w:rsidR="00295BBD" w:rsidRDefault="00295BBD"/>
          <w:p w14:paraId="3F237FD3" w14:textId="77777777" w:rsidR="00295BBD" w:rsidRDefault="00295BBD"/>
          <w:p w14:paraId="4FEB8BFB" w14:textId="77777777" w:rsidR="00295BBD" w:rsidRDefault="00295BBD"/>
          <w:p w14:paraId="1A65FD38" w14:textId="77777777" w:rsidR="00295BBD" w:rsidRDefault="00295BBD"/>
          <w:p w14:paraId="55B0096F" w14:textId="77777777" w:rsidR="00295BBD" w:rsidRDefault="00295BBD"/>
          <w:p w14:paraId="5D66DB16" w14:textId="77777777" w:rsidR="00295BBD" w:rsidRDefault="00295BBD"/>
          <w:p w14:paraId="4DEFCD2F" w14:textId="77777777" w:rsidR="00295BBD" w:rsidRDefault="00295BBD"/>
          <w:p w14:paraId="335590B2" w14:textId="12DA3795" w:rsidR="00295BBD" w:rsidRPr="00081429" w:rsidRDefault="00295BBD">
            <w:r>
              <w:t>Bob Campbell and Tom Smith volunteered to meet with Chair Halagao.</w:t>
            </w:r>
          </w:p>
        </w:tc>
      </w:tr>
      <w:tr w:rsidR="00A07E89" w:rsidRPr="00DF7694" w14:paraId="252DED46" w14:textId="77777777">
        <w:tc>
          <w:tcPr>
            <w:tcW w:w="2780" w:type="dxa"/>
            <w:tcBorders>
              <w:top w:val="single" w:sz="6" w:space="0" w:color="auto"/>
              <w:left w:val="single" w:sz="6" w:space="0" w:color="auto"/>
              <w:bottom w:val="single" w:sz="6" w:space="0" w:color="auto"/>
              <w:right w:val="single" w:sz="6" w:space="0" w:color="auto"/>
            </w:tcBorders>
          </w:tcPr>
          <w:p w14:paraId="3CF28629" w14:textId="5892FDA9" w:rsidR="00A07E89" w:rsidRDefault="00295BBD" w:rsidP="00215BA3">
            <w:pPr>
              <w:rPr>
                <w:b/>
              </w:rPr>
            </w:pPr>
            <w:r>
              <w:rPr>
                <w:b/>
              </w:rPr>
              <w:t>Report on Legislation</w:t>
            </w:r>
          </w:p>
        </w:tc>
        <w:tc>
          <w:tcPr>
            <w:tcW w:w="7380" w:type="dxa"/>
            <w:tcBorders>
              <w:top w:val="single" w:sz="6" w:space="0" w:color="auto"/>
              <w:left w:val="single" w:sz="6" w:space="0" w:color="auto"/>
              <w:bottom w:val="single" w:sz="6" w:space="0" w:color="auto"/>
              <w:right w:val="single" w:sz="6" w:space="0" w:color="auto"/>
            </w:tcBorders>
          </w:tcPr>
          <w:p w14:paraId="387F6CDC" w14:textId="440962D7" w:rsidR="00295E52" w:rsidRPr="00AC3A55" w:rsidRDefault="00295BBD" w:rsidP="00295BBD">
            <w:pPr>
              <w:rPr>
                <w:rFonts w:eastAsia="Times New Roman"/>
                <w:szCs w:val="24"/>
              </w:rPr>
            </w:pPr>
            <w:r>
              <w:rPr>
                <w:rFonts w:eastAsia="Times New Roman"/>
                <w:szCs w:val="24"/>
              </w:rPr>
              <w:t>Tom Smith gave a brief report on legislation SEAC has been following that is still alive in the House or Senate, including bills on autism insurance coverage, epi-pen administration, early childhood and the licensing of behavioral analysts.</w:t>
            </w:r>
          </w:p>
        </w:tc>
        <w:tc>
          <w:tcPr>
            <w:tcW w:w="3060" w:type="dxa"/>
            <w:tcBorders>
              <w:top w:val="single" w:sz="6" w:space="0" w:color="auto"/>
              <w:left w:val="single" w:sz="6" w:space="0" w:color="auto"/>
              <w:bottom w:val="single" w:sz="6" w:space="0" w:color="auto"/>
              <w:right w:val="single" w:sz="6" w:space="0" w:color="auto"/>
            </w:tcBorders>
          </w:tcPr>
          <w:p w14:paraId="63573F8D" w14:textId="77777777" w:rsidR="00A5191E" w:rsidRPr="00860345" w:rsidRDefault="00A5191E" w:rsidP="007C4B77"/>
        </w:tc>
      </w:tr>
      <w:tr w:rsidR="001D38C2" w:rsidRPr="00DF7694" w14:paraId="16BB0CF5" w14:textId="77777777">
        <w:tc>
          <w:tcPr>
            <w:tcW w:w="2780" w:type="dxa"/>
            <w:tcBorders>
              <w:top w:val="single" w:sz="6" w:space="0" w:color="auto"/>
              <w:left w:val="single" w:sz="6" w:space="0" w:color="auto"/>
              <w:bottom w:val="single" w:sz="6" w:space="0" w:color="auto"/>
              <w:right w:val="single" w:sz="6" w:space="0" w:color="auto"/>
            </w:tcBorders>
          </w:tcPr>
          <w:p w14:paraId="76D7EDA4" w14:textId="20ECDA6A" w:rsidR="001D38C2" w:rsidRDefault="001D38C2" w:rsidP="00215BA3">
            <w:pPr>
              <w:rPr>
                <w:b/>
              </w:rPr>
            </w:pPr>
            <w:r>
              <w:rPr>
                <w:b/>
              </w:rPr>
              <w:t>ESEA Waiver Renewal</w:t>
            </w:r>
          </w:p>
        </w:tc>
        <w:tc>
          <w:tcPr>
            <w:tcW w:w="7380" w:type="dxa"/>
            <w:tcBorders>
              <w:top w:val="single" w:sz="6" w:space="0" w:color="auto"/>
              <w:left w:val="single" w:sz="6" w:space="0" w:color="auto"/>
              <w:bottom w:val="single" w:sz="6" w:space="0" w:color="auto"/>
              <w:right w:val="single" w:sz="6" w:space="0" w:color="auto"/>
            </w:tcBorders>
          </w:tcPr>
          <w:p w14:paraId="107FF973" w14:textId="3B60CDA2" w:rsidR="001D38C2" w:rsidRDefault="001D38C2" w:rsidP="001D38C2">
            <w:pPr>
              <w:rPr>
                <w:rFonts w:eastAsia="Times New Roman"/>
                <w:szCs w:val="24"/>
              </w:rPr>
            </w:pPr>
            <w:r>
              <w:rPr>
                <w:rFonts w:eastAsia="Times New Roman"/>
                <w:szCs w:val="24"/>
              </w:rPr>
              <w:t xml:space="preserve">Stephanie Shipton briefed members on the request for a new ESEA Waiver.  Although the request has been submitted to the U.S. DOE, there is still an opportunity to make improvements on “low hanging fruit” and to submit amendments in the future.  She welcomed SEAC’s input and offered more inclusiveness and transparency in the future.  There is lots of discussion in Washington about reauthorizing the Elementary and Secondary Education Act (ESEA), and should that occur, it would trump all existing waivers.  Basic </w:t>
            </w:r>
            <w:r w:rsidR="00070261">
              <w:rPr>
                <w:rFonts w:eastAsia="Times New Roman"/>
                <w:szCs w:val="24"/>
              </w:rPr>
              <w:t>elements are still required of the waiver—having recognition, focus and priority schools, measuring four-year graduation rates and achievement gaps</w:t>
            </w:r>
            <w:r w:rsidR="004726C0">
              <w:rPr>
                <w:rFonts w:eastAsia="Times New Roman"/>
                <w:szCs w:val="24"/>
              </w:rPr>
              <w:t>,</w:t>
            </w:r>
            <w:r w:rsidR="00070261">
              <w:rPr>
                <w:rFonts w:eastAsia="Times New Roman"/>
                <w:szCs w:val="24"/>
              </w:rPr>
              <w:t xml:space="preserve"> and having consistent measures across all schools.  The changes proposed in the new waiver include:</w:t>
            </w:r>
          </w:p>
          <w:p w14:paraId="1E919F89" w14:textId="42EB599C" w:rsidR="00070261" w:rsidRDefault="00070261" w:rsidP="001D38C2">
            <w:pPr>
              <w:rPr>
                <w:rFonts w:eastAsia="Times New Roman"/>
                <w:szCs w:val="24"/>
              </w:rPr>
            </w:pPr>
            <w:r>
              <w:rPr>
                <w:rFonts w:eastAsia="Times New Roman"/>
                <w:szCs w:val="24"/>
              </w:rPr>
              <w:t xml:space="preserve">  • breaking rankings into three lists:  elementary, middle and high school;</w:t>
            </w:r>
          </w:p>
          <w:p w14:paraId="5E2F267C" w14:textId="3B6848FE" w:rsidR="00070261" w:rsidRDefault="00070261" w:rsidP="001D38C2">
            <w:pPr>
              <w:rPr>
                <w:rFonts w:eastAsia="Times New Roman"/>
                <w:szCs w:val="24"/>
              </w:rPr>
            </w:pPr>
            <w:r>
              <w:rPr>
                <w:rFonts w:eastAsia="Times New Roman"/>
                <w:szCs w:val="24"/>
              </w:rPr>
              <w:t xml:space="preserve">  • eliminating the cap on the number of recognition schools;</w:t>
            </w:r>
          </w:p>
          <w:p w14:paraId="2AC505E7" w14:textId="77777777" w:rsidR="00070261" w:rsidRDefault="00070261" w:rsidP="001D38C2">
            <w:pPr>
              <w:rPr>
                <w:rFonts w:eastAsia="Times New Roman"/>
                <w:szCs w:val="24"/>
              </w:rPr>
            </w:pPr>
            <w:r>
              <w:rPr>
                <w:rFonts w:eastAsia="Times New Roman"/>
                <w:szCs w:val="24"/>
              </w:rPr>
              <w:t xml:space="preserve">  • separating math and ELA achievement; </w:t>
            </w:r>
          </w:p>
          <w:p w14:paraId="54C49CE5" w14:textId="527D2D1D" w:rsidR="00070261" w:rsidRDefault="00070261" w:rsidP="001D38C2">
            <w:pPr>
              <w:rPr>
                <w:rFonts w:eastAsia="Times New Roman"/>
                <w:szCs w:val="24"/>
              </w:rPr>
            </w:pPr>
            <w:r>
              <w:rPr>
                <w:rFonts w:eastAsia="Times New Roman"/>
                <w:szCs w:val="24"/>
              </w:rPr>
              <w:t xml:space="preserve">  • acknowledging progress in continuous improvement schools;</w:t>
            </w:r>
          </w:p>
        </w:tc>
        <w:tc>
          <w:tcPr>
            <w:tcW w:w="3060" w:type="dxa"/>
            <w:tcBorders>
              <w:top w:val="single" w:sz="6" w:space="0" w:color="auto"/>
              <w:left w:val="single" w:sz="6" w:space="0" w:color="auto"/>
              <w:bottom w:val="single" w:sz="6" w:space="0" w:color="auto"/>
              <w:right w:val="single" w:sz="6" w:space="0" w:color="auto"/>
            </w:tcBorders>
          </w:tcPr>
          <w:p w14:paraId="15C3E1D3" w14:textId="20B52601" w:rsidR="001D38C2" w:rsidRPr="00860345" w:rsidRDefault="001D38C2" w:rsidP="007C4B77">
            <w:r>
              <w:t>Stephanie will share her Powerpoint presentation with SEAC.</w:t>
            </w:r>
          </w:p>
        </w:tc>
      </w:tr>
    </w:tbl>
    <w:p w14:paraId="6DF4633B" w14:textId="46BCC277" w:rsidR="000A7A03" w:rsidRPr="00DF7694" w:rsidRDefault="000859EA">
      <w:r>
        <w:br w:type="page"/>
        <w:t>SEAC Minutes</w:t>
      </w:r>
    </w:p>
    <w:p w14:paraId="538FAF3D" w14:textId="635C1B07" w:rsidR="000A7A03" w:rsidRPr="00DF7694" w:rsidRDefault="00125621">
      <w:r>
        <w:t>April 17</w:t>
      </w:r>
      <w:r w:rsidR="00867DC3">
        <w:t>, 2015</w:t>
      </w:r>
    </w:p>
    <w:p w14:paraId="4A42AB13" w14:textId="77777777" w:rsidR="000A7A03" w:rsidRPr="00DF7694" w:rsidRDefault="000A7A03">
      <w:r w:rsidRPr="00DF7694">
        <w:t>Page 4</w:t>
      </w:r>
    </w:p>
    <w:p w14:paraId="7AA9D1AA" w14:textId="77777777" w:rsidR="000A7A03" w:rsidRPr="00DF7694" w:rsidRDefault="000A7A03"/>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1263D2D1" w14:textId="77777777">
        <w:tc>
          <w:tcPr>
            <w:tcW w:w="2780" w:type="dxa"/>
            <w:tcBorders>
              <w:top w:val="single" w:sz="6" w:space="0" w:color="auto"/>
              <w:left w:val="single" w:sz="6" w:space="0" w:color="auto"/>
              <w:bottom w:val="single" w:sz="6" w:space="0" w:color="auto"/>
              <w:right w:val="single" w:sz="6" w:space="0" w:color="auto"/>
            </w:tcBorders>
            <w:hideMark/>
          </w:tcPr>
          <w:p w14:paraId="5FDD57D3" w14:textId="10253359" w:rsidR="000A7A03" w:rsidRPr="00DF7694" w:rsidRDefault="00070261" w:rsidP="00343C1A">
            <w:pPr>
              <w:rPr>
                <w:b/>
              </w:rPr>
            </w:pPr>
            <w:r>
              <w:rPr>
                <w:b/>
              </w:rPr>
              <w:t>ESEA Waiver Renewal (cont.)</w:t>
            </w:r>
          </w:p>
        </w:tc>
        <w:tc>
          <w:tcPr>
            <w:tcW w:w="7380" w:type="dxa"/>
            <w:tcBorders>
              <w:top w:val="single" w:sz="6" w:space="0" w:color="auto"/>
              <w:left w:val="single" w:sz="6" w:space="0" w:color="auto"/>
              <w:bottom w:val="single" w:sz="6" w:space="0" w:color="auto"/>
              <w:right w:val="single" w:sz="6" w:space="0" w:color="auto"/>
            </w:tcBorders>
            <w:hideMark/>
          </w:tcPr>
          <w:p w14:paraId="15368252" w14:textId="7E2F93BA" w:rsidR="00540ED0" w:rsidRDefault="00070261" w:rsidP="00540ED0">
            <w:pPr>
              <w:rPr>
                <w:rFonts w:cs="Times"/>
                <w:noProof w:val="0"/>
                <w:szCs w:val="24"/>
              </w:rPr>
            </w:pPr>
            <w:r>
              <w:rPr>
                <w:rFonts w:cs="Times"/>
                <w:noProof w:val="0"/>
                <w:szCs w:val="24"/>
              </w:rPr>
              <w:t>Proposed changes in the new waiver (cont.):</w:t>
            </w:r>
          </w:p>
          <w:p w14:paraId="63941145" w14:textId="0BBDA17D" w:rsidR="00070261" w:rsidRDefault="00070261" w:rsidP="00540ED0">
            <w:pPr>
              <w:rPr>
                <w:rFonts w:cs="Times"/>
                <w:noProof w:val="0"/>
                <w:szCs w:val="24"/>
              </w:rPr>
            </w:pPr>
            <w:r>
              <w:rPr>
                <w:rFonts w:cs="Times"/>
                <w:noProof w:val="0"/>
                <w:szCs w:val="24"/>
              </w:rPr>
              <w:t xml:space="preserve">  • </w:t>
            </w:r>
            <w:proofErr w:type="gramStart"/>
            <w:r>
              <w:rPr>
                <w:rFonts w:cs="Times"/>
                <w:noProof w:val="0"/>
                <w:szCs w:val="24"/>
              </w:rPr>
              <w:t>including</w:t>
            </w:r>
            <w:proofErr w:type="gramEnd"/>
            <w:r>
              <w:rPr>
                <w:rFonts w:cs="Times"/>
                <w:noProof w:val="0"/>
                <w:szCs w:val="24"/>
              </w:rPr>
              <w:t xml:space="preserve"> 5 year graduation rates and the % </w:t>
            </w:r>
            <w:r w:rsidR="004726C0">
              <w:rPr>
                <w:rFonts w:cs="Times"/>
                <w:noProof w:val="0"/>
                <w:szCs w:val="24"/>
              </w:rPr>
              <w:t xml:space="preserve">of students </w:t>
            </w:r>
            <w:r>
              <w:rPr>
                <w:rFonts w:cs="Times"/>
                <w:noProof w:val="0"/>
                <w:szCs w:val="24"/>
              </w:rPr>
              <w:t>participating in college and career ready (CCR) coursework; and</w:t>
            </w:r>
          </w:p>
          <w:p w14:paraId="42675D62" w14:textId="77777777" w:rsidR="00070261" w:rsidRDefault="00070261" w:rsidP="00540ED0">
            <w:pPr>
              <w:rPr>
                <w:rFonts w:cs="Times"/>
                <w:noProof w:val="0"/>
                <w:szCs w:val="24"/>
              </w:rPr>
            </w:pPr>
            <w:r>
              <w:rPr>
                <w:rFonts w:cs="Times"/>
                <w:noProof w:val="0"/>
                <w:szCs w:val="24"/>
              </w:rPr>
              <w:t xml:space="preserve">  • </w:t>
            </w:r>
            <w:proofErr w:type="gramStart"/>
            <w:r>
              <w:rPr>
                <w:rFonts w:cs="Times"/>
                <w:noProof w:val="0"/>
                <w:szCs w:val="24"/>
              </w:rPr>
              <w:t>bonus</w:t>
            </w:r>
            <w:proofErr w:type="gramEnd"/>
            <w:r>
              <w:rPr>
                <w:rFonts w:cs="Times"/>
                <w:noProof w:val="0"/>
                <w:szCs w:val="24"/>
              </w:rPr>
              <w:t xml:space="preserve"> points for schools (such as reducing chronic absenteeism).</w:t>
            </w:r>
          </w:p>
          <w:p w14:paraId="5D7CAACB" w14:textId="77777777" w:rsidR="00070261" w:rsidRPr="00E8702D" w:rsidRDefault="00070261" w:rsidP="00540ED0">
            <w:pPr>
              <w:rPr>
                <w:rFonts w:cs="Times"/>
                <w:noProof w:val="0"/>
                <w:szCs w:val="24"/>
                <w:u w:val="single"/>
              </w:rPr>
            </w:pPr>
            <w:r w:rsidRPr="00E8702D">
              <w:rPr>
                <w:rFonts w:cs="Times"/>
                <w:noProof w:val="0"/>
                <w:szCs w:val="24"/>
                <w:u w:val="single"/>
              </w:rPr>
              <w:t>Questions/comments from members and guests:</w:t>
            </w:r>
          </w:p>
          <w:p w14:paraId="7F0073D4" w14:textId="77777777" w:rsidR="00070261" w:rsidRDefault="00070261" w:rsidP="00E8702D">
            <w:pPr>
              <w:rPr>
                <w:rFonts w:cs="Times"/>
                <w:noProof w:val="0"/>
                <w:szCs w:val="24"/>
              </w:rPr>
            </w:pPr>
            <w:r>
              <w:rPr>
                <w:rFonts w:cs="Times"/>
                <w:noProof w:val="0"/>
                <w:szCs w:val="24"/>
              </w:rPr>
              <w:t xml:space="preserve">Q. What are the subgroups </w:t>
            </w:r>
            <w:r w:rsidR="00E8702D">
              <w:rPr>
                <w:rFonts w:cs="Times"/>
                <w:noProof w:val="0"/>
                <w:szCs w:val="24"/>
              </w:rPr>
              <w:t>included in</w:t>
            </w:r>
            <w:r>
              <w:rPr>
                <w:rFonts w:cs="Times"/>
                <w:noProof w:val="0"/>
                <w:szCs w:val="24"/>
              </w:rPr>
              <w:t xml:space="preserve"> </w:t>
            </w:r>
            <w:r w:rsidR="00E8702D">
              <w:rPr>
                <w:rFonts w:cs="Times"/>
                <w:noProof w:val="0"/>
                <w:szCs w:val="24"/>
              </w:rPr>
              <w:t>the high needs group?  A.  Students with disabilities, disadvantaged students and students who are English language learners (ELL).</w:t>
            </w:r>
          </w:p>
          <w:p w14:paraId="4E5E8568" w14:textId="2EF8B444" w:rsidR="00E8702D" w:rsidRDefault="00E8702D" w:rsidP="00E8702D">
            <w:pPr>
              <w:rPr>
                <w:rFonts w:cs="Times"/>
                <w:noProof w:val="0"/>
                <w:szCs w:val="24"/>
              </w:rPr>
            </w:pPr>
            <w:r>
              <w:rPr>
                <w:rFonts w:cs="Times"/>
                <w:noProof w:val="0"/>
                <w:szCs w:val="24"/>
              </w:rPr>
              <w:t xml:space="preserve">C.  We were told that there would be a trigger, if a school had poor performance by its special education students, but we are not sure that there is.  When you look at the </w:t>
            </w:r>
            <w:proofErr w:type="spellStart"/>
            <w:r>
              <w:rPr>
                <w:rFonts w:cs="Times"/>
                <w:noProof w:val="0"/>
                <w:szCs w:val="24"/>
              </w:rPr>
              <w:t>StriveHI</w:t>
            </w:r>
            <w:proofErr w:type="spellEnd"/>
            <w:r>
              <w:rPr>
                <w:rFonts w:cs="Times"/>
                <w:noProof w:val="0"/>
                <w:szCs w:val="24"/>
              </w:rPr>
              <w:t xml:space="preserve"> report you can’t discern special education performance.</w:t>
            </w:r>
          </w:p>
          <w:p w14:paraId="39405B17" w14:textId="77777777" w:rsidR="00E8702D" w:rsidRDefault="00E8702D" w:rsidP="00E8702D">
            <w:pPr>
              <w:rPr>
                <w:rFonts w:cs="Times"/>
                <w:noProof w:val="0"/>
                <w:szCs w:val="24"/>
              </w:rPr>
            </w:pPr>
            <w:r>
              <w:rPr>
                <w:rFonts w:cs="Times"/>
                <w:noProof w:val="0"/>
                <w:szCs w:val="24"/>
              </w:rPr>
              <w:t>Q. Do you think special education students are doing poorly?  A.  We could do a lot better.</w:t>
            </w:r>
          </w:p>
          <w:p w14:paraId="61F22314" w14:textId="77777777" w:rsidR="00E8702D" w:rsidRDefault="00E8702D" w:rsidP="00E8702D">
            <w:pPr>
              <w:rPr>
                <w:rFonts w:cs="Times"/>
                <w:noProof w:val="0"/>
                <w:szCs w:val="24"/>
              </w:rPr>
            </w:pPr>
            <w:r>
              <w:rPr>
                <w:rFonts w:cs="Times"/>
                <w:noProof w:val="0"/>
                <w:szCs w:val="24"/>
              </w:rPr>
              <w:t>C.  We tracked the 20 schools that were given recognition status last year, and it appeared from the ARCH portal that special education data for a number of those schools was either missing or that it showed a decline in performance.</w:t>
            </w:r>
          </w:p>
          <w:p w14:paraId="40658367" w14:textId="77777777" w:rsidR="00E8702D" w:rsidRDefault="00E8702D" w:rsidP="00E8702D">
            <w:pPr>
              <w:rPr>
                <w:rFonts w:cs="Times"/>
                <w:noProof w:val="0"/>
                <w:szCs w:val="24"/>
              </w:rPr>
            </w:pPr>
            <w:r>
              <w:rPr>
                <w:rFonts w:cs="Times"/>
                <w:noProof w:val="0"/>
                <w:szCs w:val="24"/>
              </w:rPr>
              <w:t>Q.  Why is 30 or 40 used as the minimum cell size to report data for a student group, when Part B IDEA data reports use 10 as a cell size minimum?  A.  I will look into that.</w:t>
            </w:r>
          </w:p>
          <w:p w14:paraId="116EE85A" w14:textId="77777777" w:rsidR="00C54E58" w:rsidRDefault="00C54E58" w:rsidP="00E8702D">
            <w:pPr>
              <w:rPr>
                <w:rFonts w:cs="Times"/>
                <w:noProof w:val="0"/>
                <w:szCs w:val="24"/>
              </w:rPr>
            </w:pPr>
            <w:r>
              <w:rPr>
                <w:rFonts w:cs="Times"/>
                <w:noProof w:val="0"/>
                <w:szCs w:val="24"/>
              </w:rPr>
              <w:t>C.  Folks working with students with disabilities need a higher level of attention than they have been getting for decades.</w:t>
            </w:r>
          </w:p>
          <w:p w14:paraId="1D2ECE70" w14:textId="77777777" w:rsidR="00C54E58" w:rsidRDefault="00C54E58" w:rsidP="00E8702D">
            <w:pPr>
              <w:rPr>
                <w:rFonts w:cs="Times"/>
                <w:noProof w:val="0"/>
                <w:szCs w:val="24"/>
              </w:rPr>
            </w:pPr>
            <w:r>
              <w:rPr>
                <w:rFonts w:cs="Times"/>
                <w:noProof w:val="0"/>
                <w:szCs w:val="24"/>
              </w:rPr>
              <w:t>C.  On my island, the focus on lowering absenteeism and testing has made it harder for some students.  We have had cases of families of students with health issues leading to chronic missed days at school being threatened over their absenteeism.  We also have seen students with disabilities being tested for three hours every day triggering their anxiety.</w:t>
            </w:r>
          </w:p>
          <w:p w14:paraId="759F9C04" w14:textId="77777777" w:rsidR="00C54E58" w:rsidRDefault="00C54E58" w:rsidP="00E8702D">
            <w:pPr>
              <w:rPr>
                <w:rFonts w:cs="Times"/>
                <w:noProof w:val="0"/>
                <w:szCs w:val="24"/>
              </w:rPr>
            </w:pPr>
            <w:r>
              <w:rPr>
                <w:rFonts w:cs="Times"/>
                <w:noProof w:val="0"/>
                <w:szCs w:val="24"/>
              </w:rPr>
              <w:t>A.  We have found that there are lots of mandatory tests that aren’t really mandatory at all.</w:t>
            </w:r>
          </w:p>
          <w:p w14:paraId="404A1EFC" w14:textId="50EEB576" w:rsidR="00C54E58" w:rsidRPr="00540ED0" w:rsidRDefault="00C54E58" w:rsidP="00E8702D">
            <w:pPr>
              <w:rPr>
                <w:rFonts w:cs="Times"/>
                <w:noProof w:val="0"/>
                <w:szCs w:val="24"/>
              </w:rPr>
            </w:pPr>
            <w:r>
              <w:rPr>
                <w:rFonts w:cs="Times"/>
                <w:noProof w:val="0"/>
                <w:szCs w:val="24"/>
              </w:rPr>
              <w:t>Q.  When the U.S. DOE gives you a final blessing on your submission, will we have a mechanism to share information on the final product?</w:t>
            </w:r>
          </w:p>
        </w:tc>
        <w:tc>
          <w:tcPr>
            <w:tcW w:w="3060" w:type="dxa"/>
            <w:tcBorders>
              <w:top w:val="single" w:sz="6" w:space="0" w:color="auto"/>
              <w:left w:val="single" w:sz="6" w:space="0" w:color="auto"/>
              <w:bottom w:val="single" w:sz="6" w:space="0" w:color="auto"/>
              <w:right w:val="single" w:sz="6" w:space="0" w:color="auto"/>
            </w:tcBorders>
          </w:tcPr>
          <w:p w14:paraId="7F88E03E" w14:textId="77777777" w:rsidR="000A7A03" w:rsidRDefault="000A7A03" w:rsidP="00125621">
            <w:pPr>
              <w:rPr>
                <w:i/>
              </w:rPr>
            </w:pPr>
          </w:p>
          <w:p w14:paraId="410FB058" w14:textId="77777777" w:rsidR="00E8702D" w:rsidRDefault="00E8702D" w:rsidP="00125621">
            <w:pPr>
              <w:rPr>
                <w:i/>
              </w:rPr>
            </w:pPr>
          </w:p>
          <w:p w14:paraId="11ED09B2" w14:textId="77777777" w:rsidR="00E8702D" w:rsidRDefault="00E8702D" w:rsidP="00125621">
            <w:pPr>
              <w:rPr>
                <w:i/>
              </w:rPr>
            </w:pPr>
          </w:p>
          <w:p w14:paraId="4D99B074" w14:textId="77777777" w:rsidR="00E8702D" w:rsidRDefault="00E8702D" w:rsidP="00125621">
            <w:pPr>
              <w:rPr>
                <w:i/>
              </w:rPr>
            </w:pPr>
          </w:p>
          <w:p w14:paraId="1C133439" w14:textId="77777777" w:rsidR="00E8702D" w:rsidRDefault="00E8702D" w:rsidP="00125621">
            <w:pPr>
              <w:rPr>
                <w:i/>
              </w:rPr>
            </w:pPr>
          </w:p>
          <w:p w14:paraId="27C73FA2" w14:textId="77777777" w:rsidR="00E8702D" w:rsidRDefault="00E8702D" w:rsidP="00125621">
            <w:pPr>
              <w:rPr>
                <w:i/>
              </w:rPr>
            </w:pPr>
          </w:p>
          <w:p w14:paraId="21E0E3EC" w14:textId="77777777" w:rsidR="00E8702D" w:rsidRDefault="00E8702D" w:rsidP="00125621">
            <w:pPr>
              <w:rPr>
                <w:i/>
              </w:rPr>
            </w:pPr>
          </w:p>
          <w:p w14:paraId="4B94A5CE" w14:textId="77777777" w:rsidR="00E8702D" w:rsidRDefault="00E8702D" w:rsidP="00125621">
            <w:pPr>
              <w:rPr>
                <w:i/>
              </w:rPr>
            </w:pPr>
          </w:p>
          <w:p w14:paraId="20A9BE35" w14:textId="77777777" w:rsidR="00E8702D" w:rsidRDefault="00E8702D" w:rsidP="00125621">
            <w:pPr>
              <w:rPr>
                <w:i/>
              </w:rPr>
            </w:pPr>
          </w:p>
          <w:p w14:paraId="2AF2C016" w14:textId="77777777" w:rsidR="00E8702D" w:rsidRDefault="00E8702D" w:rsidP="00125621">
            <w:pPr>
              <w:rPr>
                <w:i/>
              </w:rPr>
            </w:pPr>
          </w:p>
          <w:p w14:paraId="3DBFD4BF" w14:textId="77777777" w:rsidR="00E8702D" w:rsidRDefault="00E8702D" w:rsidP="00125621">
            <w:pPr>
              <w:rPr>
                <w:i/>
              </w:rPr>
            </w:pPr>
          </w:p>
          <w:p w14:paraId="03518B8B" w14:textId="77777777" w:rsidR="00E8702D" w:rsidRDefault="00E8702D" w:rsidP="00125621">
            <w:pPr>
              <w:rPr>
                <w:i/>
              </w:rPr>
            </w:pPr>
          </w:p>
          <w:p w14:paraId="6A62F30A" w14:textId="77777777" w:rsidR="00E8702D" w:rsidRDefault="00E8702D" w:rsidP="00125621">
            <w:pPr>
              <w:rPr>
                <w:i/>
              </w:rPr>
            </w:pPr>
          </w:p>
          <w:p w14:paraId="7112B287" w14:textId="77777777" w:rsidR="00E8702D" w:rsidRDefault="00E8702D" w:rsidP="00125621">
            <w:pPr>
              <w:rPr>
                <w:i/>
              </w:rPr>
            </w:pPr>
          </w:p>
          <w:p w14:paraId="769377B2" w14:textId="48F108F9" w:rsidR="00E8702D" w:rsidRPr="00E8702D" w:rsidRDefault="00E8702D" w:rsidP="00125621">
            <w:r w:rsidRPr="00E8702D">
              <w:t>Susan will forward that tracking data to Stephanie.</w:t>
            </w:r>
          </w:p>
        </w:tc>
      </w:tr>
    </w:tbl>
    <w:p w14:paraId="1A9B45D0" w14:textId="0461BCCA" w:rsidR="000A7A03" w:rsidRPr="00DF7694" w:rsidRDefault="000A7A03">
      <w:r w:rsidRPr="00DF7694">
        <w:br w:type="page"/>
        <w:t>SEAC Minutes</w:t>
      </w:r>
    </w:p>
    <w:p w14:paraId="51D204A5" w14:textId="2800D8D5" w:rsidR="000A7A03" w:rsidRPr="00DF7694" w:rsidRDefault="00125621">
      <w:r>
        <w:t>April 17</w:t>
      </w:r>
      <w:r w:rsidR="00867DC3">
        <w:t>, 2015</w:t>
      </w:r>
    </w:p>
    <w:p w14:paraId="0108FDBF" w14:textId="77777777" w:rsidR="000A7A03" w:rsidRDefault="000A7A03">
      <w:r w:rsidRPr="00DF7694">
        <w:t>Page 5</w:t>
      </w:r>
    </w:p>
    <w:p w14:paraId="50FB26A8" w14:textId="77777777" w:rsidR="0098369B" w:rsidRPr="00DF7694" w:rsidRDefault="0098369B"/>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2EB4FB17" w14:textId="77777777" w:rsidTr="00C526A6">
        <w:tc>
          <w:tcPr>
            <w:tcW w:w="2780" w:type="dxa"/>
            <w:tcBorders>
              <w:top w:val="single" w:sz="6" w:space="0" w:color="auto"/>
              <w:left w:val="single" w:sz="6" w:space="0" w:color="auto"/>
              <w:bottom w:val="single" w:sz="6" w:space="0" w:color="auto"/>
              <w:right w:val="single" w:sz="6" w:space="0" w:color="auto"/>
            </w:tcBorders>
            <w:hideMark/>
          </w:tcPr>
          <w:p w14:paraId="4E06E38F" w14:textId="1C3C50A6" w:rsidR="000A7A03" w:rsidRPr="00DF7694" w:rsidRDefault="00C54E58">
            <w:pPr>
              <w:widowControl w:val="0"/>
              <w:spacing w:line="240" w:lineRule="exact"/>
              <w:rPr>
                <w:b/>
              </w:rPr>
            </w:pPr>
            <w:r>
              <w:rPr>
                <w:b/>
              </w:rPr>
              <w:t>ESEA Waiver Renewal (cont.)</w:t>
            </w:r>
          </w:p>
        </w:tc>
        <w:tc>
          <w:tcPr>
            <w:tcW w:w="7380" w:type="dxa"/>
            <w:tcBorders>
              <w:top w:val="single" w:sz="6" w:space="0" w:color="auto"/>
              <w:left w:val="single" w:sz="6" w:space="0" w:color="auto"/>
              <w:bottom w:val="single" w:sz="4" w:space="0" w:color="auto"/>
              <w:right w:val="single" w:sz="6" w:space="0" w:color="auto"/>
            </w:tcBorders>
            <w:hideMark/>
          </w:tcPr>
          <w:p w14:paraId="42FC9E6F" w14:textId="77777777" w:rsidR="00C54E58" w:rsidRPr="00E8702D" w:rsidRDefault="00C54E58" w:rsidP="00C54E58">
            <w:pPr>
              <w:rPr>
                <w:rFonts w:cs="Times"/>
                <w:noProof w:val="0"/>
                <w:szCs w:val="24"/>
                <w:u w:val="single"/>
              </w:rPr>
            </w:pPr>
            <w:r w:rsidRPr="00E8702D">
              <w:rPr>
                <w:rFonts w:cs="Times"/>
                <w:noProof w:val="0"/>
                <w:szCs w:val="24"/>
                <w:u w:val="single"/>
              </w:rPr>
              <w:t>Questions/comments from members and guests:</w:t>
            </w:r>
          </w:p>
          <w:p w14:paraId="510C8CF9" w14:textId="04E8DF87" w:rsidR="00D94EED" w:rsidRDefault="00C54E58" w:rsidP="007E203A">
            <w:pPr>
              <w:tabs>
                <w:tab w:val="left" w:pos="507"/>
              </w:tabs>
            </w:pPr>
            <w:r>
              <w:t xml:space="preserve">A.  We will have a press release and meet with the Board of Education.  We can </w:t>
            </w:r>
            <w:r w:rsidR="004726C0">
              <w:t xml:space="preserve">also </w:t>
            </w:r>
            <w:r>
              <w:t>meet with SEAC, if need be.</w:t>
            </w:r>
          </w:p>
          <w:p w14:paraId="5BF8029F" w14:textId="77777777" w:rsidR="00C54E58" w:rsidRDefault="00C54E58" w:rsidP="007E203A">
            <w:pPr>
              <w:tabs>
                <w:tab w:val="left" w:pos="507"/>
              </w:tabs>
            </w:pPr>
            <w:r>
              <w:t>Q.  In the data you are compiling about mandated tests</w:t>
            </w:r>
            <w:r w:rsidR="00A2326C">
              <w:t>, is there information that specifies either a state or federal requirement?  A.  Some schools have other tests that they tell students are required.</w:t>
            </w:r>
          </w:p>
          <w:p w14:paraId="41B49B6B" w14:textId="77777777" w:rsidR="00A2326C" w:rsidRDefault="00A2326C" w:rsidP="007E203A">
            <w:pPr>
              <w:tabs>
                <w:tab w:val="left" w:pos="507"/>
              </w:tabs>
            </w:pPr>
            <w:r>
              <w:t>Q.  Are students required to pass end of course exams in order to graduate?  A.  No.  We have no high stakes tests in Hawaii.</w:t>
            </w:r>
          </w:p>
          <w:p w14:paraId="0606CECD" w14:textId="77777777" w:rsidR="00A2326C" w:rsidRDefault="00A2326C" w:rsidP="00A2326C">
            <w:pPr>
              <w:tabs>
                <w:tab w:val="left" w:pos="507"/>
              </w:tabs>
            </w:pPr>
            <w:r>
              <w:t>C.  If I am taking U.S. History, and I fail the end of course exam, I get an “F” and don’t pass.  A.  Teachers under collective bargaining have the ability to set the requirements for passing a course.  Standards are expectations of what students are able to do within a certain time.  No where in the the standards do we say that tests are promotion gates.  That is reflected at the school level.</w:t>
            </w:r>
          </w:p>
          <w:p w14:paraId="7B05E6D8" w14:textId="77777777" w:rsidR="00A2326C" w:rsidRDefault="00A2326C" w:rsidP="00A2326C">
            <w:pPr>
              <w:tabs>
                <w:tab w:val="left" w:pos="507"/>
              </w:tabs>
            </w:pPr>
            <w:r>
              <w:t>Q. I’m a preschool teacher and there is high turnover with many of my students.  If you are using a lexile score, can you give bonus points, as the testing results are not always a true reflection of our school performance? A.  We would be looking at a student cohort over a period of time for both achievement and growth.</w:t>
            </w:r>
          </w:p>
          <w:p w14:paraId="5AC49C17" w14:textId="4497C220" w:rsidR="00A2326C" w:rsidRPr="00DF7694" w:rsidRDefault="00A2326C" w:rsidP="00A2326C">
            <w:pPr>
              <w:tabs>
                <w:tab w:val="left" w:pos="507"/>
              </w:tabs>
            </w:pPr>
            <w:r>
              <w:t>C.  The Board and the community, including SEAC, are concerned about how and why you utilize a student co-hort for determining growth percentages.  A.  Dave Moyer is good at breaking down data points.</w:t>
            </w:r>
          </w:p>
        </w:tc>
        <w:tc>
          <w:tcPr>
            <w:tcW w:w="3060" w:type="dxa"/>
            <w:tcBorders>
              <w:top w:val="single" w:sz="6" w:space="0" w:color="auto"/>
              <w:left w:val="single" w:sz="6" w:space="0" w:color="auto"/>
              <w:bottom w:val="single" w:sz="6" w:space="0" w:color="auto"/>
              <w:right w:val="single" w:sz="6" w:space="0" w:color="auto"/>
            </w:tcBorders>
            <w:hideMark/>
          </w:tcPr>
          <w:p w14:paraId="43A5121F" w14:textId="0D95D2FC" w:rsidR="000A7A03" w:rsidRPr="00DF7694" w:rsidRDefault="00FF3327" w:rsidP="00E93718">
            <w:r>
              <w:t>Ivalee expressed an open invitation to Stephanie to attend future meetings.</w:t>
            </w:r>
          </w:p>
        </w:tc>
      </w:tr>
      <w:tr w:rsidR="000A7A03" w:rsidRPr="00DF7694" w14:paraId="396C4E21" w14:textId="77777777" w:rsidTr="00C526A6">
        <w:tc>
          <w:tcPr>
            <w:tcW w:w="2780" w:type="dxa"/>
            <w:tcBorders>
              <w:top w:val="single" w:sz="6" w:space="0" w:color="auto"/>
              <w:left w:val="single" w:sz="6" w:space="0" w:color="auto"/>
              <w:bottom w:val="single" w:sz="6" w:space="0" w:color="auto"/>
              <w:right w:val="single" w:sz="4" w:space="0" w:color="auto"/>
            </w:tcBorders>
            <w:hideMark/>
          </w:tcPr>
          <w:p w14:paraId="7011744C" w14:textId="47CBCE82" w:rsidR="00710B08" w:rsidRPr="00DF7694" w:rsidRDefault="00FF3327" w:rsidP="00710B08">
            <w:pPr>
              <w:widowControl w:val="0"/>
              <w:spacing w:line="240" w:lineRule="exact"/>
              <w:rPr>
                <w:b/>
              </w:rPr>
            </w:pPr>
            <w:r>
              <w:rPr>
                <w:b/>
              </w:rPr>
              <w:t>DOE Tracking of Legislation</w:t>
            </w:r>
          </w:p>
        </w:tc>
        <w:tc>
          <w:tcPr>
            <w:tcW w:w="7380" w:type="dxa"/>
            <w:tcBorders>
              <w:top w:val="single" w:sz="4" w:space="0" w:color="auto"/>
              <w:left w:val="single" w:sz="4" w:space="0" w:color="auto"/>
              <w:bottom w:val="single" w:sz="4" w:space="0" w:color="auto"/>
              <w:right w:val="single" w:sz="4" w:space="0" w:color="auto"/>
            </w:tcBorders>
            <w:hideMark/>
          </w:tcPr>
          <w:p w14:paraId="68A78ABB" w14:textId="499A6823" w:rsidR="00CC1609" w:rsidRPr="00DF7694" w:rsidRDefault="00FF3327" w:rsidP="004726C0">
            <w:r>
              <w:t>Ivalee asked Malia Espinda to comment on the Department’s action on current legislation.  Malia responded that they are now tracking about sixty bills, many of which are resolutions.  Some bills like the ones on bullying are needing amendments and are broader than the Department.  Bills they are tracking besides bullying include Healthy Keiki</w:t>
            </w:r>
            <w:r w:rsidR="004726C0">
              <w:t>--</w:t>
            </w:r>
            <w:r>
              <w:t>a school based health initiative</w:t>
            </w:r>
            <w:r w:rsidR="004726C0">
              <w:t>--</w:t>
            </w:r>
            <w:r>
              <w:t>dual credit, epi-pens and diabetes management, and instructional hours.  Ivalee expressed concern about implementation of the seclusion and restraints bill passed last session, as there does not appear to be money for training.</w:t>
            </w:r>
          </w:p>
        </w:tc>
        <w:tc>
          <w:tcPr>
            <w:tcW w:w="3060" w:type="dxa"/>
            <w:tcBorders>
              <w:top w:val="single" w:sz="6" w:space="0" w:color="auto"/>
              <w:left w:val="single" w:sz="4" w:space="0" w:color="auto"/>
              <w:bottom w:val="single" w:sz="6" w:space="0" w:color="auto"/>
              <w:right w:val="single" w:sz="6" w:space="0" w:color="auto"/>
            </w:tcBorders>
            <w:hideMark/>
          </w:tcPr>
          <w:p w14:paraId="1AB0A63B" w14:textId="77777777" w:rsidR="00EF3AA1" w:rsidRDefault="00EF3AA1" w:rsidP="00FF3327"/>
          <w:p w14:paraId="05E5D2FE" w14:textId="77777777" w:rsidR="00FF3327" w:rsidRDefault="00FF3327" w:rsidP="00FF3327"/>
          <w:p w14:paraId="5CDC1E88" w14:textId="77777777" w:rsidR="00FF3327" w:rsidRDefault="00FF3327" w:rsidP="00FF3327"/>
          <w:p w14:paraId="038C3375" w14:textId="77777777" w:rsidR="00FF3327" w:rsidRDefault="00FF3327" w:rsidP="00FF3327"/>
          <w:p w14:paraId="349EC022" w14:textId="77777777" w:rsidR="00FF3327" w:rsidRDefault="00FF3327" w:rsidP="00FF3327"/>
          <w:p w14:paraId="493DADC5" w14:textId="77777777" w:rsidR="00FF3327" w:rsidRDefault="00FF3327" w:rsidP="00FF3327"/>
          <w:p w14:paraId="5E403B1A" w14:textId="77777777" w:rsidR="00FF3327" w:rsidRDefault="00FF3327" w:rsidP="00FF3327"/>
          <w:p w14:paraId="09CA8566" w14:textId="61283ACC" w:rsidR="00FF3327" w:rsidRPr="00DF7694" w:rsidRDefault="00FF3327" w:rsidP="00FF3327">
            <w:r>
              <w:t>Malia will convey our concern to Sandy Goya.</w:t>
            </w:r>
          </w:p>
        </w:tc>
      </w:tr>
    </w:tbl>
    <w:p w14:paraId="0AFE2B0C" w14:textId="2BE2E286" w:rsidR="00DE4BA0" w:rsidRPr="00DF7694" w:rsidRDefault="00FF3327" w:rsidP="00DE4BA0">
      <w:r>
        <w:t xml:space="preserve">  </w:t>
      </w:r>
      <w:r w:rsidR="00DE4BA0">
        <w:br w:type="page"/>
      </w:r>
      <w:r w:rsidR="00DE4BA0" w:rsidRPr="00DF7694">
        <w:t>SEAC Minutes</w:t>
      </w:r>
    </w:p>
    <w:p w14:paraId="53C623C8" w14:textId="16E4A1CE" w:rsidR="00DE4BA0" w:rsidRPr="00DF7694" w:rsidRDefault="0011354D" w:rsidP="00DE4BA0">
      <w:r>
        <w:t>April</w:t>
      </w:r>
      <w:r w:rsidR="00DE4BA0">
        <w:t xml:space="preserve"> 1</w:t>
      </w:r>
      <w:r>
        <w:t>7</w:t>
      </w:r>
      <w:r w:rsidR="00DE4BA0">
        <w:t>, 2015</w:t>
      </w:r>
    </w:p>
    <w:p w14:paraId="735780E0" w14:textId="77777777" w:rsidR="00DE4BA0" w:rsidRDefault="00DE4BA0" w:rsidP="00DE4BA0">
      <w:r w:rsidRPr="00DF7694">
        <w:t xml:space="preserve">Page </w:t>
      </w:r>
      <w:r>
        <w:t>6</w:t>
      </w:r>
    </w:p>
    <w:p w14:paraId="7EF80DAD" w14:textId="77777777" w:rsidR="00DE4BA0" w:rsidRDefault="00DE4BA0"/>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7C4B77" w:rsidRPr="00DF7694" w14:paraId="592BD173" w14:textId="77777777" w:rsidTr="00C526A6">
        <w:tc>
          <w:tcPr>
            <w:tcW w:w="2780" w:type="dxa"/>
            <w:tcBorders>
              <w:top w:val="single" w:sz="6" w:space="0" w:color="auto"/>
              <w:left w:val="single" w:sz="6" w:space="0" w:color="auto"/>
              <w:bottom w:val="single" w:sz="6" w:space="0" w:color="auto"/>
              <w:right w:val="single" w:sz="6" w:space="0" w:color="auto"/>
            </w:tcBorders>
          </w:tcPr>
          <w:p w14:paraId="73B31F5F" w14:textId="591A1224" w:rsidR="007C4B77" w:rsidRDefault="0011354D">
            <w:pPr>
              <w:widowControl w:val="0"/>
              <w:spacing w:line="240" w:lineRule="exact"/>
              <w:rPr>
                <w:b/>
              </w:rPr>
            </w:pPr>
            <w:r>
              <w:rPr>
                <w:b/>
              </w:rPr>
              <w:t>Review of Draft By-Laws</w:t>
            </w:r>
          </w:p>
        </w:tc>
        <w:tc>
          <w:tcPr>
            <w:tcW w:w="7380" w:type="dxa"/>
            <w:tcBorders>
              <w:top w:val="single" w:sz="4" w:space="0" w:color="auto"/>
              <w:left w:val="single" w:sz="6" w:space="0" w:color="auto"/>
              <w:bottom w:val="single" w:sz="6" w:space="0" w:color="auto"/>
              <w:right w:val="single" w:sz="6" w:space="0" w:color="auto"/>
            </w:tcBorders>
          </w:tcPr>
          <w:p w14:paraId="2189A795" w14:textId="77777777" w:rsidR="007C4B77" w:rsidRDefault="0011354D" w:rsidP="007E203A">
            <w:pPr>
              <w:tabs>
                <w:tab w:val="left" w:pos="507"/>
              </w:tabs>
            </w:pPr>
            <w:r>
              <w:t>Members took a second look at the revisions to the by-laws suggested at the March meeting.</w:t>
            </w:r>
            <w:r w:rsidR="00C92BD3">
              <w:t xml:space="preserve">  New suggestions included the following:</w:t>
            </w:r>
          </w:p>
          <w:p w14:paraId="555DFEA5" w14:textId="77777777" w:rsidR="00C92BD3" w:rsidRDefault="00C92BD3" w:rsidP="007E203A">
            <w:pPr>
              <w:tabs>
                <w:tab w:val="left" w:pos="507"/>
              </w:tabs>
            </w:pPr>
            <w:r>
              <w:t xml:space="preserve">  • adding a 9</w:t>
            </w:r>
            <w:r w:rsidRPr="00C92BD3">
              <w:rPr>
                <w:vertAlign w:val="superscript"/>
              </w:rPr>
              <w:t>th</w:t>
            </w:r>
            <w:r>
              <w:t xml:space="preserve"> function to read “Review and comment with regards to the Department’s federal and state budgets for special education;</w:t>
            </w:r>
          </w:p>
          <w:p w14:paraId="1E68E3B9" w14:textId="38F4F418" w:rsidR="00C92BD3" w:rsidRDefault="00C92BD3" w:rsidP="007E203A">
            <w:pPr>
              <w:tabs>
                <w:tab w:val="left" w:pos="507"/>
              </w:tabs>
            </w:pPr>
            <w:r>
              <w:t xml:space="preserve">  • include a statement requiring a Departmental budget presentation annually;</w:t>
            </w:r>
          </w:p>
          <w:p w14:paraId="2DA5D42D" w14:textId="4788C3DD" w:rsidR="00C92BD3" w:rsidRDefault="00C92BD3" w:rsidP="007E203A">
            <w:pPr>
              <w:tabs>
                <w:tab w:val="left" w:pos="507"/>
              </w:tabs>
            </w:pPr>
            <w:r>
              <w:t xml:space="preserve">  • deleting the section on parliamentary rules; and</w:t>
            </w:r>
          </w:p>
          <w:p w14:paraId="64CED232" w14:textId="77777777" w:rsidR="00C92BD3" w:rsidRDefault="00C92BD3" w:rsidP="007E203A">
            <w:pPr>
              <w:tabs>
                <w:tab w:val="left" w:pos="507"/>
              </w:tabs>
            </w:pPr>
            <w:r>
              <w:t xml:space="preserve">  • create three Vice Chairs to help share the workload.</w:t>
            </w:r>
          </w:p>
          <w:p w14:paraId="39C78496" w14:textId="7D46C283" w:rsidR="00C92BD3" w:rsidRDefault="00C92BD3" w:rsidP="007E203A">
            <w:pPr>
              <w:tabs>
                <w:tab w:val="left" w:pos="507"/>
              </w:tabs>
            </w:pPr>
            <w:r>
              <w:t>Barbara Ioli shared that the orientation sessions she provides have been sporadic this past year.</w:t>
            </w:r>
          </w:p>
        </w:tc>
        <w:tc>
          <w:tcPr>
            <w:tcW w:w="3060" w:type="dxa"/>
            <w:tcBorders>
              <w:top w:val="single" w:sz="6" w:space="0" w:color="auto"/>
              <w:left w:val="single" w:sz="6" w:space="0" w:color="auto"/>
              <w:bottom w:val="single" w:sz="6" w:space="0" w:color="auto"/>
              <w:right w:val="single" w:sz="6" w:space="0" w:color="auto"/>
            </w:tcBorders>
          </w:tcPr>
          <w:p w14:paraId="36E2BBE5" w14:textId="77777777" w:rsidR="007C4B77" w:rsidRDefault="0011354D">
            <w:r>
              <w:t>Members will vote on suggested amendments at the May meeting.</w:t>
            </w:r>
          </w:p>
          <w:p w14:paraId="334F1250" w14:textId="77777777" w:rsidR="00C92BD3" w:rsidRDefault="00C92BD3"/>
          <w:p w14:paraId="7B7E63E5" w14:textId="77777777" w:rsidR="00C92BD3" w:rsidRDefault="00C92BD3"/>
          <w:p w14:paraId="284505ED" w14:textId="77777777" w:rsidR="00C92BD3" w:rsidRDefault="00C92BD3"/>
          <w:p w14:paraId="745C026C" w14:textId="77777777" w:rsidR="00C92BD3" w:rsidRDefault="00C92BD3"/>
          <w:p w14:paraId="363638BF" w14:textId="7B011A54" w:rsidR="00C92BD3" w:rsidRPr="00DF7694" w:rsidRDefault="00C92BD3">
            <w:r>
              <w:t>Amanda Kaahanui and Barbara will revisit orientation  needs after May.</w:t>
            </w:r>
          </w:p>
        </w:tc>
      </w:tr>
      <w:tr w:rsidR="0098369B" w:rsidRPr="00DF7694" w14:paraId="0D542F6F" w14:textId="77777777" w:rsidTr="00C526A6">
        <w:tc>
          <w:tcPr>
            <w:tcW w:w="2780" w:type="dxa"/>
            <w:tcBorders>
              <w:top w:val="single" w:sz="6" w:space="0" w:color="auto"/>
              <w:left w:val="single" w:sz="6" w:space="0" w:color="auto"/>
              <w:bottom w:val="single" w:sz="6" w:space="0" w:color="auto"/>
              <w:right w:val="single" w:sz="6" w:space="0" w:color="auto"/>
            </w:tcBorders>
          </w:tcPr>
          <w:p w14:paraId="0D31B33E" w14:textId="1EC58404" w:rsidR="0098369B" w:rsidRPr="00DF7694" w:rsidRDefault="00C92BD3" w:rsidP="00C92BD3">
            <w:pPr>
              <w:widowControl w:val="0"/>
              <w:spacing w:line="240" w:lineRule="exact"/>
              <w:rPr>
                <w:b/>
              </w:rPr>
            </w:pPr>
            <w:r>
              <w:rPr>
                <w:b/>
              </w:rPr>
              <w:t>Input from the Public</w:t>
            </w:r>
          </w:p>
        </w:tc>
        <w:tc>
          <w:tcPr>
            <w:tcW w:w="7380" w:type="dxa"/>
            <w:tcBorders>
              <w:top w:val="single" w:sz="4" w:space="0" w:color="auto"/>
              <w:left w:val="single" w:sz="6" w:space="0" w:color="auto"/>
              <w:bottom w:val="single" w:sz="6" w:space="0" w:color="auto"/>
              <w:right w:val="single" w:sz="6" w:space="0" w:color="auto"/>
            </w:tcBorders>
          </w:tcPr>
          <w:p w14:paraId="09121A5C" w14:textId="77777777" w:rsidR="0098369B" w:rsidRDefault="00C92BD3" w:rsidP="00C92BD3">
            <w:pPr>
              <w:tabs>
                <w:tab w:val="left" w:pos="507"/>
              </w:tabs>
            </w:pPr>
            <w:r>
              <w:t>The following input from the public was discussed:</w:t>
            </w:r>
          </w:p>
          <w:p w14:paraId="60683059" w14:textId="19E70613" w:rsidR="00C92BD3" w:rsidRDefault="008F1378" w:rsidP="008A2CDD">
            <w:pPr>
              <w:pStyle w:val="ListParagraph"/>
              <w:numPr>
                <w:ilvl w:val="0"/>
                <w:numId w:val="18"/>
              </w:numPr>
              <w:tabs>
                <w:tab w:val="left" w:pos="507"/>
              </w:tabs>
            </w:pPr>
            <w:r>
              <w:t>Some p</w:t>
            </w:r>
            <w:r w:rsidR="008A2CDD">
              <w:t xml:space="preserve">arents of students with disabilities </w:t>
            </w:r>
            <w:r>
              <w:t xml:space="preserve">are </w:t>
            </w:r>
            <w:r w:rsidR="008A2CDD">
              <w:t>being told by their schools that their children have no avenue to opt out of standardized testing;</w:t>
            </w:r>
          </w:p>
          <w:p w14:paraId="140EDDBC" w14:textId="2E6FE1F2" w:rsidR="008A2CDD" w:rsidRDefault="008A2CDD" w:rsidP="008A2CDD">
            <w:pPr>
              <w:pStyle w:val="ListParagraph"/>
              <w:numPr>
                <w:ilvl w:val="0"/>
                <w:numId w:val="18"/>
              </w:numPr>
              <w:tabs>
                <w:tab w:val="left" w:pos="507"/>
              </w:tabs>
            </w:pPr>
            <w:r>
              <w:t xml:space="preserve">Training by a contractor on the Big Island </w:t>
            </w:r>
            <w:r w:rsidR="005F4A89">
              <w:t>on Response to Intervention does not acknowledge the requirement in IDEA to honor a parent’s request for an evaluation without undue delay; and</w:t>
            </w:r>
          </w:p>
          <w:p w14:paraId="29533EAD" w14:textId="153BC7CD" w:rsidR="005F4A89" w:rsidRDefault="005F4A89" w:rsidP="008A2CDD">
            <w:pPr>
              <w:pStyle w:val="ListParagraph"/>
              <w:numPr>
                <w:ilvl w:val="0"/>
                <w:numId w:val="18"/>
              </w:numPr>
              <w:tabs>
                <w:tab w:val="left" w:pos="507"/>
              </w:tabs>
            </w:pPr>
            <w:r>
              <w:t xml:space="preserve">IEPs of some students transferring from the Mainland </w:t>
            </w:r>
            <w:r w:rsidR="008F1378">
              <w:t xml:space="preserve">are </w:t>
            </w:r>
            <w:r>
              <w:t>not being honored.</w:t>
            </w:r>
          </w:p>
          <w:p w14:paraId="46B5FBB5" w14:textId="515F379A" w:rsidR="005F4A89" w:rsidRPr="00DF7694" w:rsidRDefault="005F4A89" w:rsidP="00990481">
            <w:pPr>
              <w:tabs>
                <w:tab w:val="left" w:pos="507"/>
              </w:tabs>
              <w:ind w:left="120"/>
            </w:pPr>
            <w:r>
              <w:t xml:space="preserve">After a discussion the consensus for action on the first item </w:t>
            </w:r>
            <w:r w:rsidR="00990481">
              <w:t>is</w:t>
            </w:r>
            <w:r>
              <w:t xml:space="preserve"> to share Rosie Rowe’s advice to have parents write the principal and request an opt out </w:t>
            </w:r>
            <w:r w:rsidR="00990481">
              <w:t xml:space="preserve">on the statewide assessment, </w:t>
            </w:r>
            <w:r>
              <w:t xml:space="preserve">and to put the item up for further discussion in the future.  Suggested action on the second issue is to ask the Department for its position on RTI </w:t>
            </w:r>
            <w:r w:rsidR="008F1378">
              <w:t>when a</w:t>
            </w:r>
            <w:r>
              <w:t xml:space="preserve"> parent requests an IDEA evaluation, and then provide information that a contractor is saying otherwise.  The consensus of the group on the last item is that </w:t>
            </w:r>
            <w:r w:rsidR="008F1378">
              <w:t>schools are clearly not following Chapter 60 by failing to honor an interim IEP while evaluating the student for eligibility in Hawaii.  The issue indicates a need for more training in the field.</w:t>
            </w:r>
          </w:p>
        </w:tc>
        <w:tc>
          <w:tcPr>
            <w:tcW w:w="3060" w:type="dxa"/>
            <w:tcBorders>
              <w:top w:val="single" w:sz="6" w:space="0" w:color="auto"/>
              <w:left w:val="single" w:sz="6" w:space="0" w:color="auto"/>
              <w:bottom w:val="single" w:sz="6" w:space="0" w:color="auto"/>
              <w:right w:val="single" w:sz="6" w:space="0" w:color="auto"/>
            </w:tcBorders>
          </w:tcPr>
          <w:p w14:paraId="4E8632B5" w14:textId="77777777" w:rsidR="0098369B" w:rsidRPr="00DF7694" w:rsidRDefault="0098369B"/>
        </w:tc>
      </w:tr>
    </w:tbl>
    <w:p w14:paraId="6518494B" w14:textId="5DD815AE" w:rsidR="000A7A03" w:rsidRDefault="000A7A03" w:rsidP="00867DC3"/>
    <w:sectPr w:rsidR="000A7A03" w:rsidSect="007C4B77">
      <w:headerReference w:type="default" r:id="rId8"/>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C4748" w14:textId="77777777" w:rsidR="004726C0" w:rsidRDefault="004726C0">
      <w:r>
        <w:separator/>
      </w:r>
    </w:p>
  </w:endnote>
  <w:endnote w:type="continuationSeparator" w:id="0">
    <w:p w14:paraId="56520CBC" w14:textId="77777777" w:rsidR="004726C0" w:rsidRDefault="0047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0B70F" w14:textId="77777777" w:rsidR="004726C0" w:rsidRDefault="004726C0">
      <w:r>
        <w:separator/>
      </w:r>
    </w:p>
  </w:footnote>
  <w:footnote w:type="continuationSeparator" w:id="0">
    <w:p w14:paraId="3CBA40F0" w14:textId="77777777" w:rsidR="004726C0" w:rsidRDefault="004726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225C9" w14:textId="3CBF5BAE" w:rsidR="004726C0" w:rsidRDefault="00A855B6">
    <w:pPr>
      <w:pStyle w:val="Header"/>
      <w:jc w:val="right"/>
      <w:rPr>
        <w:u w:val="single"/>
      </w:rPr>
    </w:pPr>
    <w:r>
      <w:rPr>
        <w:u w:val="single"/>
      </w:rPr>
      <w:t>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515"/>
    <w:multiLevelType w:val="hybridMultilevel"/>
    <w:tmpl w:val="C5E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20B7E"/>
    <w:multiLevelType w:val="hybridMultilevel"/>
    <w:tmpl w:val="D132FF60"/>
    <w:lvl w:ilvl="0" w:tplc="13A032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273F4399"/>
    <w:multiLevelType w:val="hybridMultilevel"/>
    <w:tmpl w:val="7F78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C2D6F68"/>
    <w:multiLevelType w:val="hybridMultilevel"/>
    <w:tmpl w:val="680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25148"/>
    <w:multiLevelType w:val="multilevel"/>
    <w:tmpl w:val="FA6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452C9B"/>
    <w:multiLevelType w:val="hybridMultilevel"/>
    <w:tmpl w:val="E4E60D7E"/>
    <w:lvl w:ilvl="0" w:tplc="0409000F">
      <w:start w:val="1"/>
      <w:numFmt w:val="decimal"/>
      <w:lvlText w:val="%1."/>
      <w:lvlJc w:val="left"/>
      <w:pPr>
        <w:ind w:left="730" w:hanging="360"/>
      </w:pPr>
    </w:lvl>
    <w:lvl w:ilvl="1" w:tplc="04090019">
      <w:start w:val="1"/>
      <w:numFmt w:val="lowerLetter"/>
      <w:lvlText w:val="%2."/>
      <w:lvlJc w:val="left"/>
      <w:pPr>
        <w:ind w:left="1450" w:hanging="360"/>
      </w:pPr>
    </w:lvl>
    <w:lvl w:ilvl="2" w:tplc="0409001B">
      <w:start w:val="1"/>
      <w:numFmt w:val="lowerRoman"/>
      <w:lvlText w:val="%3."/>
      <w:lvlJc w:val="right"/>
      <w:pPr>
        <w:ind w:left="2170" w:hanging="180"/>
      </w:pPr>
    </w:lvl>
    <w:lvl w:ilvl="3" w:tplc="0409000F">
      <w:start w:val="1"/>
      <w:numFmt w:val="decimal"/>
      <w:lvlText w:val="%4."/>
      <w:lvlJc w:val="left"/>
      <w:pPr>
        <w:ind w:left="2890" w:hanging="360"/>
      </w:pPr>
    </w:lvl>
    <w:lvl w:ilvl="4" w:tplc="04090019">
      <w:start w:val="1"/>
      <w:numFmt w:val="lowerLetter"/>
      <w:lvlText w:val="%5."/>
      <w:lvlJc w:val="left"/>
      <w:pPr>
        <w:ind w:left="3610" w:hanging="360"/>
      </w:pPr>
    </w:lvl>
    <w:lvl w:ilvl="5" w:tplc="0409001B">
      <w:start w:val="1"/>
      <w:numFmt w:val="lowerRoman"/>
      <w:lvlText w:val="%6."/>
      <w:lvlJc w:val="right"/>
      <w:pPr>
        <w:ind w:left="4330" w:hanging="180"/>
      </w:pPr>
    </w:lvl>
    <w:lvl w:ilvl="6" w:tplc="0409000F">
      <w:start w:val="1"/>
      <w:numFmt w:val="decimal"/>
      <w:lvlText w:val="%7."/>
      <w:lvlJc w:val="left"/>
      <w:pPr>
        <w:ind w:left="5050" w:hanging="360"/>
      </w:pPr>
    </w:lvl>
    <w:lvl w:ilvl="7" w:tplc="04090019">
      <w:start w:val="1"/>
      <w:numFmt w:val="lowerLetter"/>
      <w:lvlText w:val="%8."/>
      <w:lvlJc w:val="left"/>
      <w:pPr>
        <w:ind w:left="5770" w:hanging="360"/>
      </w:pPr>
    </w:lvl>
    <w:lvl w:ilvl="8" w:tplc="0409001B">
      <w:start w:val="1"/>
      <w:numFmt w:val="lowerRoman"/>
      <w:lvlText w:val="%9."/>
      <w:lvlJc w:val="right"/>
      <w:pPr>
        <w:ind w:left="6490" w:hanging="180"/>
      </w:pPr>
    </w:lvl>
  </w:abstractNum>
  <w:abstractNum w:abstractNumId="6">
    <w:nsid w:val="3296622E"/>
    <w:multiLevelType w:val="hybridMultilevel"/>
    <w:tmpl w:val="B5E82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4F7E66D5"/>
    <w:multiLevelType w:val="hybridMultilevel"/>
    <w:tmpl w:val="AE92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51561"/>
    <w:multiLevelType w:val="hybridMultilevel"/>
    <w:tmpl w:val="D8C0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8340D"/>
    <w:multiLevelType w:val="hybridMultilevel"/>
    <w:tmpl w:val="32F66EE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nsid w:val="55625A78"/>
    <w:multiLevelType w:val="hybridMultilevel"/>
    <w:tmpl w:val="FCDC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964CD"/>
    <w:multiLevelType w:val="hybridMultilevel"/>
    <w:tmpl w:val="C1B2595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12">
    <w:nsid w:val="7AA429BA"/>
    <w:multiLevelType w:val="hybridMultilevel"/>
    <w:tmpl w:val="11E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DC7375"/>
    <w:multiLevelType w:val="hybridMultilevel"/>
    <w:tmpl w:val="35DA6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2"/>
  </w:num>
  <w:num w:numId="4">
    <w:abstractNumId w:val="2"/>
  </w:num>
  <w:num w:numId="5">
    <w:abstractNumId w:val="4"/>
  </w:num>
  <w:num w:numId="6">
    <w:abstractNumId w:val="11"/>
  </w:num>
  <w:num w:numId="7">
    <w:abstractNumId w:val="1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3"/>
  </w:num>
  <w:num w:numId="13">
    <w:abstractNumId w:val="3"/>
  </w:num>
  <w:num w:numId="14">
    <w:abstractNumId w:val="9"/>
  </w:num>
  <w:num w:numId="15">
    <w:abstractNumId w:val="8"/>
  </w:num>
  <w:num w:numId="16">
    <w:abstractNumId w:val="10"/>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94"/>
    <w:rsid w:val="00013C67"/>
    <w:rsid w:val="0003765A"/>
    <w:rsid w:val="00070261"/>
    <w:rsid w:val="00081429"/>
    <w:rsid w:val="000859EA"/>
    <w:rsid w:val="0009640F"/>
    <w:rsid w:val="000A7A03"/>
    <w:rsid w:val="000D4D7B"/>
    <w:rsid w:val="000E5A1F"/>
    <w:rsid w:val="000F5165"/>
    <w:rsid w:val="000F6135"/>
    <w:rsid w:val="00110292"/>
    <w:rsid w:val="0011354D"/>
    <w:rsid w:val="00115F2C"/>
    <w:rsid w:val="0012191E"/>
    <w:rsid w:val="00125621"/>
    <w:rsid w:val="001405EB"/>
    <w:rsid w:val="001478AE"/>
    <w:rsid w:val="00161F70"/>
    <w:rsid w:val="00162C5E"/>
    <w:rsid w:val="00191DB8"/>
    <w:rsid w:val="001975C5"/>
    <w:rsid w:val="001B5E77"/>
    <w:rsid w:val="001C2F41"/>
    <w:rsid w:val="001D38C2"/>
    <w:rsid w:val="001E2364"/>
    <w:rsid w:val="001E764D"/>
    <w:rsid w:val="00215BA3"/>
    <w:rsid w:val="002360BC"/>
    <w:rsid w:val="00241C7D"/>
    <w:rsid w:val="00255F24"/>
    <w:rsid w:val="00261C3E"/>
    <w:rsid w:val="002666C7"/>
    <w:rsid w:val="002858C2"/>
    <w:rsid w:val="00291C41"/>
    <w:rsid w:val="00295BBD"/>
    <w:rsid w:val="00295E52"/>
    <w:rsid w:val="002C5021"/>
    <w:rsid w:val="002C6775"/>
    <w:rsid w:val="002D7431"/>
    <w:rsid w:val="00314DD9"/>
    <w:rsid w:val="00342124"/>
    <w:rsid w:val="00343C1A"/>
    <w:rsid w:val="00350001"/>
    <w:rsid w:val="00357656"/>
    <w:rsid w:val="00390F0C"/>
    <w:rsid w:val="00396613"/>
    <w:rsid w:val="003A7EB6"/>
    <w:rsid w:val="003B5ECE"/>
    <w:rsid w:val="0041010E"/>
    <w:rsid w:val="00431BB3"/>
    <w:rsid w:val="00435D79"/>
    <w:rsid w:val="00445A46"/>
    <w:rsid w:val="00445A61"/>
    <w:rsid w:val="004726C0"/>
    <w:rsid w:val="00475829"/>
    <w:rsid w:val="00492170"/>
    <w:rsid w:val="004B06C4"/>
    <w:rsid w:val="004B1850"/>
    <w:rsid w:val="004C7A16"/>
    <w:rsid w:val="004D6011"/>
    <w:rsid w:val="00501CD7"/>
    <w:rsid w:val="00513E00"/>
    <w:rsid w:val="00540ED0"/>
    <w:rsid w:val="00557436"/>
    <w:rsid w:val="00576997"/>
    <w:rsid w:val="0058300C"/>
    <w:rsid w:val="005853DB"/>
    <w:rsid w:val="005A3A50"/>
    <w:rsid w:val="005B7AE0"/>
    <w:rsid w:val="005E7017"/>
    <w:rsid w:val="005F4A89"/>
    <w:rsid w:val="00617FA6"/>
    <w:rsid w:val="00634C1B"/>
    <w:rsid w:val="00660E2C"/>
    <w:rsid w:val="0068464F"/>
    <w:rsid w:val="006B3DCF"/>
    <w:rsid w:val="006B507C"/>
    <w:rsid w:val="006B6EE8"/>
    <w:rsid w:val="006D3814"/>
    <w:rsid w:val="00706CE5"/>
    <w:rsid w:val="00710B08"/>
    <w:rsid w:val="00711438"/>
    <w:rsid w:val="00712207"/>
    <w:rsid w:val="0074255D"/>
    <w:rsid w:val="00746224"/>
    <w:rsid w:val="007576E3"/>
    <w:rsid w:val="00765AD2"/>
    <w:rsid w:val="007C4B77"/>
    <w:rsid w:val="007E203A"/>
    <w:rsid w:val="007E5329"/>
    <w:rsid w:val="008016BB"/>
    <w:rsid w:val="00803616"/>
    <w:rsid w:val="00813F9C"/>
    <w:rsid w:val="00860345"/>
    <w:rsid w:val="00867DC3"/>
    <w:rsid w:val="008719B7"/>
    <w:rsid w:val="0088292B"/>
    <w:rsid w:val="00891A2C"/>
    <w:rsid w:val="008A2CDD"/>
    <w:rsid w:val="008B317D"/>
    <w:rsid w:val="008C2741"/>
    <w:rsid w:val="008C3B5B"/>
    <w:rsid w:val="008D1746"/>
    <w:rsid w:val="008E11B8"/>
    <w:rsid w:val="008E17B8"/>
    <w:rsid w:val="008F1378"/>
    <w:rsid w:val="00903070"/>
    <w:rsid w:val="009073F9"/>
    <w:rsid w:val="00916270"/>
    <w:rsid w:val="0095289A"/>
    <w:rsid w:val="0098369B"/>
    <w:rsid w:val="00990481"/>
    <w:rsid w:val="00993F1B"/>
    <w:rsid w:val="009963D3"/>
    <w:rsid w:val="009A5B5F"/>
    <w:rsid w:val="009B44C9"/>
    <w:rsid w:val="009B72B9"/>
    <w:rsid w:val="00A07E89"/>
    <w:rsid w:val="00A2326C"/>
    <w:rsid w:val="00A400BE"/>
    <w:rsid w:val="00A5191E"/>
    <w:rsid w:val="00A65C38"/>
    <w:rsid w:val="00A673EC"/>
    <w:rsid w:val="00A7209B"/>
    <w:rsid w:val="00A855B6"/>
    <w:rsid w:val="00AA63B4"/>
    <w:rsid w:val="00AC3A55"/>
    <w:rsid w:val="00AD5313"/>
    <w:rsid w:val="00B01572"/>
    <w:rsid w:val="00B0441F"/>
    <w:rsid w:val="00B35EBA"/>
    <w:rsid w:val="00B44934"/>
    <w:rsid w:val="00B52159"/>
    <w:rsid w:val="00B612DA"/>
    <w:rsid w:val="00B76EE4"/>
    <w:rsid w:val="00BD7C8F"/>
    <w:rsid w:val="00BF12CB"/>
    <w:rsid w:val="00C0465F"/>
    <w:rsid w:val="00C11DA2"/>
    <w:rsid w:val="00C13810"/>
    <w:rsid w:val="00C526A6"/>
    <w:rsid w:val="00C54E58"/>
    <w:rsid w:val="00C92BD3"/>
    <w:rsid w:val="00CC1609"/>
    <w:rsid w:val="00CC493E"/>
    <w:rsid w:val="00CE46D9"/>
    <w:rsid w:val="00D172CA"/>
    <w:rsid w:val="00D26374"/>
    <w:rsid w:val="00D469FF"/>
    <w:rsid w:val="00D53984"/>
    <w:rsid w:val="00D94275"/>
    <w:rsid w:val="00D94EED"/>
    <w:rsid w:val="00DE170C"/>
    <w:rsid w:val="00DE2913"/>
    <w:rsid w:val="00DE4BA0"/>
    <w:rsid w:val="00DF0457"/>
    <w:rsid w:val="00DF7694"/>
    <w:rsid w:val="00E35EBB"/>
    <w:rsid w:val="00E57363"/>
    <w:rsid w:val="00E674CC"/>
    <w:rsid w:val="00E8702D"/>
    <w:rsid w:val="00E93718"/>
    <w:rsid w:val="00EE2060"/>
    <w:rsid w:val="00EF2CD1"/>
    <w:rsid w:val="00EF3AA1"/>
    <w:rsid w:val="00F41BCB"/>
    <w:rsid w:val="00F61D32"/>
    <w:rsid w:val="00FA7A52"/>
    <w:rsid w:val="00FB5EC9"/>
    <w:rsid w:val="00FD0621"/>
    <w:rsid w:val="00FD3AB1"/>
    <w:rsid w:val="00FE4F90"/>
    <w:rsid w:val="00FE6239"/>
    <w:rsid w:val="00FF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7179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 w:type="paragraph" w:styleId="ListParagraph">
    <w:name w:val="List Paragraph"/>
    <w:basedOn w:val="Normal"/>
    <w:uiPriority w:val="34"/>
    <w:qFormat/>
    <w:rsid w:val="00C54E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 w:type="paragraph" w:styleId="ListParagraph">
    <w:name w:val="List Paragraph"/>
    <w:basedOn w:val="Normal"/>
    <w:uiPriority w:val="34"/>
    <w:qFormat/>
    <w:rsid w:val="00C5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6</Pages>
  <Words>1969</Words>
  <Characters>11226</Characters>
  <Application>Microsoft Macintosh Word</Application>
  <DocSecurity>0</DocSecurity>
  <Lines>93</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SPECIAL EDUCATION ADVISORY COUNCIL </vt:lpstr>
      <vt:lpstr>SPECIAL EDUCATION ADVISORY COUNCIL</vt:lpstr>
      <vt:lpstr>Minutes – February 13, 2015</vt:lpstr>
      <vt:lpstr>9:00 a.m. – 12:00 p.m.</vt:lpstr>
      <vt:lpstr/>
    </vt:vector>
  </TitlesOfParts>
  <Company>SPIN</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dc:description/>
  <cp:lastModifiedBy>Susan Rocco</cp:lastModifiedBy>
  <cp:revision>11</cp:revision>
  <cp:lastPrinted>2015-05-08T16:48:00Z</cp:lastPrinted>
  <dcterms:created xsi:type="dcterms:W3CDTF">2015-05-06T08:14:00Z</dcterms:created>
  <dcterms:modified xsi:type="dcterms:W3CDTF">2015-06-30T00:44:00Z</dcterms:modified>
</cp:coreProperties>
</file>