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4A27" w14:textId="77777777" w:rsidR="0000175A" w:rsidRDefault="0000175A" w:rsidP="00A420B9">
      <w:pPr>
        <w:pStyle w:val="Title"/>
        <w:spacing w:line="240" w:lineRule="exact"/>
        <w:outlineLvl w:val="0"/>
      </w:pPr>
      <w:bookmarkStart w:id="0" w:name="_GoBack"/>
      <w:bookmarkEnd w:id="0"/>
      <w:r>
        <w:t>SPECIAL EDUCATION ADVISORY COUNCIL</w:t>
      </w:r>
    </w:p>
    <w:p w14:paraId="5951A4CA" w14:textId="2A4DF3EA" w:rsidR="0000175A" w:rsidRDefault="0000175A">
      <w:pPr>
        <w:pStyle w:val="Subtitle"/>
        <w:spacing w:line="240" w:lineRule="exact"/>
        <w:outlineLvl w:val="0"/>
      </w:pPr>
      <w:r>
        <w:t xml:space="preserve">Minutes – </w:t>
      </w:r>
      <w:r w:rsidR="00622851">
        <w:t>January 11, 2019</w:t>
      </w:r>
    </w:p>
    <w:p w14:paraId="2C2BC582" w14:textId="77777777" w:rsidR="0000175A" w:rsidRDefault="0000175A">
      <w:pPr>
        <w:widowControl w:val="0"/>
        <w:spacing w:line="240" w:lineRule="exact"/>
        <w:jc w:val="center"/>
        <w:outlineLvl w:val="0"/>
      </w:pPr>
      <w:r>
        <w:t xml:space="preserve">9:00 a.m. – </w:t>
      </w:r>
      <w:r w:rsidR="008B2844">
        <w:t>12:00</w:t>
      </w:r>
      <w:r>
        <w:t xml:space="preserve"> p.m.</w:t>
      </w:r>
    </w:p>
    <w:p w14:paraId="2644C3D3" w14:textId="77777777" w:rsidR="0000175A" w:rsidRDefault="0000175A">
      <w:pPr>
        <w:widowControl w:val="0"/>
        <w:spacing w:line="240" w:lineRule="exact"/>
        <w:jc w:val="center"/>
        <w:outlineLvl w:val="0"/>
      </w:pPr>
    </w:p>
    <w:p w14:paraId="7237E416" w14:textId="4020C6F2" w:rsidR="00FD16A9" w:rsidRDefault="0000175A" w:rsidP="00FD16A9">
      <w:pPr>
        <w:widowControl w:val="0"/>
        <w:spacing w:line="240" w:lineRule="exact"/>
        <w:ind w:right="360"/>
      </w:pPr>
      <w:r>
        <w:rPr>
          <w:b/>
        </w:rPr>
        <w:t>PRESENT:</w:t>
      </w:r>
      <w:r>
        <w:t xml:space="preserve"> </w:t>
      </w:r>
      <w:r w:rsidR="00A355C0">
        <w:t>Brendelyn Ancheta</w:t>
      </w:r>
      <w:r w:rsidR="00A355C0">
        <w:rPr>
          <w:b/>
        </w:rPr>
        <w:t xml:space="preserve">, </w:t>
      </w:r>
      <w:r w:rsidR="00117E6F" w:rsidRPr="00117E6F">
        <w:t>Virginia Beringer,</w:t>
      </w:r>
      <w:r w:rsidR="00117E6F">
        <w:rPr>
          <w:b/>
        </w:rPr>
        <w:t xml:space="preserve"> </w:t>
      </w:r>
      <w:r w:rsidR="000733A4" w:rsidRPr="006B6DA3">
        <w:t>Bob Campbell,</w:t>
      </w:r>
      <w:r w:rsidR="000733A4">
        <w:rPr>
          <w:b/>
        </w:rPr>
        <w:t xml:space="preserve"> </w:t>
      </w:r>
      <w:r w:rsidR="00FD16A9">
        <w:t>Debbie Cheeseman,</w:t>
      </w:r>
      <w:r w:rsidR="00FD16A9">
        <w:rPr>
          <w:b/>
        </w:rPr>
        <w:t xml:space="preserve"> </w:t>
      </w:r>
      <w:r w:rsidR="00F37387">
        <w:t xml:space="preserve">Motu Finau, Sage Goto, </w:t>
      </w:r>
      <w:r>
        <w:t xml:space="preserve">Martha Guinan, </w:t>
      </w:r>
      <w:r w:rsidR="006B6DA3">
        <w:rPr>
          <w:color w:val="000000"/>
          <w:szCs w:val="24"/>
        </w:rPr>
        <w:t xml:space="preserve">Lindsay Heller, </w:t>
      </w:r>
      <w:r w:rsidR="00FF5CB6">
        <w:t xml:space="preserve">Amanda Kaahanui (staff), </w:t>
      </w:r>
      <w:r w:rsidR="00FD16A9">
        <w:t>Tina KingKau</w:t>
      </w:r>
      <w:r w:rsidR="00381DF2">
        <w:t>‘</w:t>
      </w:r>
      <w:r w:rsidR="00FD16A9">
        <w:t xml:space="preserve">i Rezentes, </w:t>
      </w:r>
      <w:r>
        <w:t>Susan Rocco</w:t>
      </w:r>
      <w:r w:rsidR="00FF5CB6">
        <w:t xml:space="preserve"> (staff)</w:t>
      </w:r>
      <w:r w:rsidR="00AF3F1B">
        <w:t xml:space="preserve">, </w:t>
      </w:r>
      <w:r w:rsidR="000733A4">
        <w:t xml:space="preserve">Rosie Rowe, Tricia Sheehey, </w:t>
      </w:r>
      <w:r w:rsidR="00123801">
        <w:t xml:space="preserve">Christina Tydeman (liaison to the Superintendent), </w:t>
      </w:r>
      <w:r w:rsidR="001E1D79">
        <w:t xml:space="preserve">Lisa Vegas (for Stacey Oshio), </w:t>
      </w:r>
      <w:r w:rsidR="000733A4">
        <w:t xml:space="preserve">Jasmine Williams, </w:t>
      </w:r>
      <w:r w:rsidR="00FD16A9">
        <w:t>Susan Wood</w:t>
      </w:r>
    </w:p>
    <w:p w14:paraId="5FC3B530" w14:textId="071B3260" w:rsidR="00193A2F" w:rsidRDefault="0000175A">
      <w:pPr>
        <w:widowControl w:val="0"/>
        <w:spacing w:line="240" w:lineRule="exact"/>
        <w:ind w:right="360"/>
      </w:pPr>
      <w:r>
        <w:rPr>
          <w:b/>
        </w:rPr>
        <w:t>EXCUSED</w:t>
      </w:r>
      <w:r>
        <w:t xml:space="preserve">: </w:t>
      </w:r>
      <w:r w:rsidR="00F57E44">
        <w:t xml:space="preserve">Annette Cooper, </w:t>
      </w:r>
      <w:r w:rsidR="00F57E44" w:rsidRPr="00541FEA">
        <w:rPr>
          <w:color w:val="000000"/>
          <w:szCs w:val="24"/>
        </w:rPr>
        <w:t>Scott Hashimoto</w:t>
      </w:r>
      <w:r w:rsidR="00F57E44">
        <w:rPr>
          <w:color w:val="000000"/>
          <w:szCs w:val="24"/>
        </w:rPr>
        <w:t>,</w:t>
      </w:r>
      <w:r w:rsidR="00F57E44" w:rsidRPr="00541FEA">
        <w:rPr>
          <w:color w:val="000000"/>
          <w:szCs w:val="24"/>
        </w:rPr>
        <w:t xml:space="preserve"> </w:t>
      </w:r>
      <w:r w:rsidR="00381DF2">
        <w:t xml:space="preserve">Cathy Kahoohanohano, </w:t>
      </w:r>
      <w:r w:rsidR="00FD16A9">
        <w:t xml:space="preserve">Bernadette Lane, </w:t>
      </w:r>
      <w:r w:rsidR="001E1D79">
        <w:t xml:space="preserve">Dale Matsuura, Kaili Murbach, </w:t>
      </w:r>
      <w:r w:rsidR="00F57E44">
        <w:t>Carrie Pisciotto</w:t>
      </w:r>
      <w:r w:rsidR="00F57E44">
        <w:rPr>
          <w:color w:val="000000"/>
          <w:szCs w:val="24"/>
        </w:rPr>
        <w:t>,</w:t>
      </w:r>
      <w:r w:rsidR="00F57E44">
        <w:t xml:space="preserve"> Ivalee Sinclair</w:t>
      </w:r>
      <w:r w:rsidR="000733A4">
        <w:t>, James Street, Francis Taele, Steven Vannatta</w:t>
      </w:r>
    </w:p>
    <w:p w14:paraId="2DE073BC" w14:textId="41B40750" w:rsidR="006B6DA3" w:rsidRDefault="006B6DA3">
      <w:pPr>
        <w:widowControl w:val="0"/>
        <w:spacing w:line="240" w:lineRule="exact"/>
        <w:ind w:right="360"/>
      </w:pPr>
      <w:r w:rsidRPr="006D47AC">
        <w:rPr>
          <w:b/>
        </w:rPr>
        <w:t>ABSENT</w:t>
      </w:r>
      <w:r>
        <w:t xml:space="preserve">: </w:t>
      </w:r>
      <w:r w:rsidR="000733A4">
        <w:t>Amy Wiech</w:t>
      </w:r>
    </w:p>
    <w:p w14:paraId="24A481F3" w14:textId="59410CE5" w:rsidR="00526304" w:rsidRDefault="0000175A">
      <w:pPr>
        <w:widowControl w:val="0"/>
        <w:spacing w:line="240" w:lineRule="exact"/>
        <w:ind w:right="360"/>
      </w:pPr>
      <w:r>
        <w:rPr>
          <w:b/>
        </w:rPr>
        <w:t>GUESTS</w:t>
      </w:r>
      <w:r w:rsidR="00087792">
        <w:t>:</w:t>
      </w:r>
      <w:r w:rsidR="00117E6F">
        <w:t xml:space="preserve"> </w:t>
      </w:r>
      <w:r w:rsidR="00AC0BEF">
        <w:t xml:space="preserve">Cesar D’Agord, </w:t>
      </w:r>
      <w:r w:rsidR="00581520">
        <w:t xml:space="preserve">Ryan Akamine, </w:t>
      </w:r>
      <w:r w:rsidR="00AC0BEF">
        <w:t>Jennifer Barrett-Zitkus, Joanne Cashman, Christine Pilgrim, Drew Saranillio, Angela Tanner-Dean</w:t>
      </w: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352933EA" w14:textId="77777777" w:rsidTr="00B719E4">
        <w:tc>
          <w:tcPr>
            <w:tcW w:w="2780" w:type="dxa"/>
            <w:tcBorders>
              <w:top w:val="single" w:sz="6" w:space="0" w:color="auto"/>
              <w:left w:val="single" w:sz="6" w:space="0" w:color="auto"/>
              <w:bottom w:val="single" w:sz="6" w:space="0" w:color="auto"/>
              <w:right w:val="single" w:sz="6" w:space="0" w:color="auto"/>
            </w:tcBorders>
          </w:tcPr>
          <w:p w14:paraId="5619FEA6"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3E4B0910"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FA76DB9" w14:textId="77777777" w:rsidR="0000175A" w:rsidRDefault="0000175A">
            <w:pPr>
              <w:jc w:val="center"/>
              <w:rPr>
                <w:b/>
              </w:rPr>
            </w:pPr>
            <w:r>
              <w:rPr>
                <w:b/>
              </w:rPr>
              <w:t>ACTION</w:t>
            </w:r>
          </w:p>
        </w:tc>
      </w:tr>
      <w:tr w:rsidR="0000175A" w14:paraId="77226E3C" w14:textId="77777777" w:rsidTr="00B719E4">
        <w:tc>
          <w:tcPr>
            <w:tcW w:w="2780" w:type="dxa"/>
            <w:tcBorders>
              <w:top w:val="single" w:sz="6" w:space="0" w:color="auto"/>
              <w:left w:val="single" w:sz="6" w:space="0" w:color="auto"/>
              <w:bottom w:val="single" w:sz="6" w:space="0" w:color="auto"/>
              <w:right w:val="single" w:sz="6" w:space="0" w:color="auto"/>
            </w:tcBorders>
          </w:tcPr>
          <w:p w14:paraId="08B96C75" w14:textId="5698314D" w:rsidR="0000175A" w:rsidRDefault="0000175A">
            <w:pPr>
              <w:widowControl w:val="0"/>
              <w:spacing w:line="240" w:lineRule="exact"/>
              <w:rPr>
                <w:b/>
              </w:rPr>
            </w:pPr>
            <w:r>
              <w:rPr>
                <w:b/>
              </w:rPr>
              <w:t>Call to Order</w:t>
            </w:r>
            <w:r w:rsidR="002104F0">
              <w:rPr>
                <w:b/>
              </w:rPr>
              <w:t>/Welcome</w:t>
            </w:r>
          </w:p>
        </w:tc>
        <w:tc>
          <w:tcPr>
            <w:tcW w:w="7470" w:type="dxa"/>
            <w:tcBorders>
              <w:top w:val="single" w:sz="6" w:space="0" w:color="auto"/>
              <w:left w:val="single" w:sz="6" w:space="0" w:color="auto"/>
              <w:bottom w:val="single" w:sz="6" w:space="0" w:color="auto"/>
              <w:right w:val="single" w:sz="6" w:space="0" w:color="auto"/>
            </w:tcBorders>
          </w:tcPr>
          <w:p w14:paraId="4C826CD1" w14:textId="3A8D3788" w:rsidR="0000175A" w:rsidRDefault="0000175A" w:rsidP="00435847">
            <w:r>
              <w:t>Chair Martha Guinan called the meeting to order at 9:</w:t>
            </w:r>
            <w:r w:rsidR="002104F0">
              <w:t>12</w:t>
            </w:r>
            <w:r>
              <w:t xml:space="preserve"> a.m.</w:t>
            </w:r>
          </w:p>
        </w:tc>
        <w:tc>
          <w:tcPr>
            <w:tcW w:w="2970" w:type="dxa"/>
            <w:tcBorders>
              <w:top w:val="single" w:sz="6" w:space="0" w:color="auto"/>
              <w:left w:val="single" w:sz="6" w:space="0" w:color="auto"/>
              <w:bottom w:val="single" w:sz="6" w:space="0" w:color="auto"/>
              <w:right w:val="single" w:sz="6" w:space="0" w:color="auto"/>
            </w:tcBorders>
          </w:tcPr>
          <w:p w14:paraId="42955D20" w14:textId="77777777" w:rsidR="0000175A" w:rsidRDefault="0000175A"/>
        </w:tc>
      </w:tr>
      <w:tr w:rsidR="00A32392" w14:paraId="1D4ACF95" w14:textId="77777777" w:rsidTr="0000652C">
        <w:tc>
          <w:tcPr>
            <w:tcW w:w="2780" w:type="dxa"/>
            <w:tcBorders>
              <w:top w:val="single" w:sz="6" w:space="0" w:color="auto"/>
              <w:left w:val="single" w:sz="6" w:space="0" w:color="auto"/>
              <w:bottom w:val="single" w:sz="6" w:space="0" w:color="auto"/>
              <w:right w:val="single" w:sz="6" w:space="0" w:color="auto"/>
            </w:tcBorders>
          </w:tcPr>
          <w:p w14:paraId="1CCDAC2E" w14:textId="19E149C2" w:rsidR="00A32392" w:rsidRDefault="00C43218" w:rsidP="006C7F21">
            <w:pPr>
              <w:widowControl w:val="0"/>
              <w:rPr>
                <w:b/>
              </w:rPr>
            </w:pPr>
            <w:r>
              <w:rPr>
                <w:b/>
              </w:rPr>
              <w:t>Introductions</w:t>
            </w:r>
          </w:p>
        </w:tc>
        <w:tc>
          <w:tcPr>
            <w:tcW w:w="7470" w:type="dxa"/>
            <w:tcBorders>
              <w:top w:val="single" w:sz="6" w:space="0" w:color="auto"/>
              <w:left w:val="single" w:sz="6" w:space="0" w:color="auto"/>
              <w:bottom w:val="single" w:sz="6" w:space="0" w:color="auto"/>
              <w:right w:val="single" w:sz="6" w:space="0" w:color="auto"/>
            </w:tcBorders>
          </w:tcPr>
          <w:p w14:paraId="25D5291C" w14:textId="335A5D33" w:rsidR="00A32392" w:rsidRDefault="00B76767" w:rsidP="000B5B9A">
            <w:r>
              <w:t xml:space="preserve">Members introduced themselves to </w:t>
            </w:r>
            <w:r w:rsidR="000B5B9A">
              <w:t>Joanne Cashman and Cesar D’Agord</w:t>
            </w:r>
            <w:r w:rsidR="003839D0">
              <w:t>.</w:t>
            </w:r>
          </w:p>
        </w:tc>
        <w:tc>
          <w:tcPr>
            <w:tcW w:w="2970" w:type="dxa"/>
            <w:tcBorders>
              <w:top w:val="single" w:sz="6" w:space="0" w:color="auto"/>
              <w:left w:val="single" w:sz="6" w:space="0" w:color="auto"/>
              <w:bottom w:val="single" w:sz="6" w:space="0" w:color="auto"/>
              <w:right w:val="single" w:sz="6" w:space="0" w:color="auto"/>
            </w:tcBorders>
          </w:tcPr>
          <w:p w14:paraId="7D96CD31" w14:textId="72D74F25" w:rsidR="00A32392" w:rsidRDefault="00A32392" w:rsidP="0000652C"/>
        </w:tc>
      </w:tr>
      <w:tr w:rsidR="007102D1" w14:paraId="65470946" w14:textId="77777777" w:rsidTr="00B65693">
        <w:tc>
          <w:tcPr>
            <w:tcW w:w="2780" w:type="dxa"/>
            <w:tcBorders>
              <w:top w:val="single" w:sz="6" w:space="0" w:color="auto"/>
              <w:left w:val="single" w:sz="6" w:space="0" w:color="auto"/>
              <w:bottom w:val="single" w:sz="6" w:space="0" w:color="auto"/>
              <w:right w:val="single" w:sz="6" w:space="0" w:color="auto"/>
            </w:tcBorders>
          </w:tcPr>
          <w:p w14:paraId="559D8E8C" w14:textId="77777777" w:rsidR="007102D1" w:rsidRDefault="007102D1" w:rsidP="001A7321">
            <w:pPr>
              <w:widowControl w:val="0"/>
              <w:rPr>
                <w:b/>
              </w:rPr>
            </w:pPr>
            <w:r>
              <w:rPr>
                <w:b/>
              </w:rPr>
              <w:t>Announcements</w:t>
            </w:r>
          </w:p>
        </w:tc>
        <w:tc>
          <w:tcPr>
            <w:tcW w:w="7470" w:type="dxa"/>
            <w:tcBorders>
              <w:top w:val="single" w:sz="6" w:space="0" w:color="auto"/>
              <w:left w:val="single" w:sz="6" w:space="0" w:color="auto"/>
              <w:bottom w:val="single" w:sz="6" w:space="0" w:color="auto"/>
              <w:right w:val="single" w:sz="6" w:space="0" w:color="auto"/>
            </w:tcBorders>
          </w:tcPr>
          <w:p w14:paraId="77E403B6" w14:textId="2C72E36B" w:rsidR="007102D1" w:rsidRDefault="007102D1" w:rsidP="007102D1">
            <w:r w:rsidRPr="00707D4B">
              <w:t xml:space="preserve">Susan Rocco </w:t>
            </w:r>
            <w:r>
              <w:t>made two announcements:</w:t>
            </w:r>
          </w:p>
          <w:p w14:paraId="016F53BC" w14:textId="77777777" w:rsidR="007102D1" w:rsidRPr="00707D4B" w:rsidRDefault="007102D1" w:rsidP="007102D1">
            <w:pPr>
              <w:ind w:left="280" w:hanging="270"/>
            </w:pPr>
            <w:r>
              <w:t xml:space="preserve">1) The SSIP Infographic Group is collecting new or used </w:t>
            </w:r>
            <w:r w:rsidRPr="00707D4B">
              <w:t>Dr. Suess</w:t>
            </w:r>
            <w:r>
              <w:t xml:space="preserve"> books to donate to Puuhale School students in time for Read Across America Day on March 2, 2019.  If members have books to donate, please bring them to the February 8</w:t>
            </w:r>
            <w:r w:rsidRPr="00571E95">
              <w:rPr>
                <w:vertAlign w:val="superscript"/>
              </w:rPr>
              <w:t>th</w:t>
            </w:r>
            <w:r>
              <w:t xml:space="preserve"> SEAC meeting.</w:t>
            </w:r>
          </w:p>
          <w:p w14:paraId="45264A20" w14:textId="60E1F887" w:rsidR="007102D1" w:rsidRPr="007102D1" w:rsidRDefault="007102D1" w:rsidP="007102D1">
            <w:pPr>
              <w:ind w:left="280" w:hanging="270"/>
              <w:rPr>
                <w:rFonts w:eastAsia="Times New Roman"/>
              </w:rPr>
            </w:pPr>
            <w:r>
              <w:t xml:space="preserve">2) One of the Equity Specialists in the Civil Rights Compliance Office (CRCO) has offered an update of the proposed revisions to </w:t>
            </w:r>
            <w:r w:rsidRPr="00707D4B">
              <w:t>Ch</w:t>
            </w:r>
            <w:r>
              <w:t>apter</w:t>
            </w:r>
            <w:r w:rsidRPr="00707D4B">
              <w:t xml:space="preserve"> 19</w:t>
            </w:r>
            <w:r>
              <w:t xml:space="preserve"> and the proposed new rule—Chapter </w:t>
            </w:r>
            <w:r w:rsidRPr="00707D4B">
              <w:t>89</w:t>
            </w:r>
            <w:r>
              <w:t>.</w:t>
            </w:r>
            <w:r w:rsidRPr="00707D4B">
              <w:t xml:space="preserve"> </w:t>
            </w:r>
            <w:r>
              <w:t xml:space="preserve"> The CRCO </w:t>
            </w:r>
            <w:r>
              <w:rPr>
                <w:rFonts w:eastAsia="Times New Roman"/>
                <w:color w:val="000000"/>
                <w:shd w:val="clear" w:color="auto" w:fill="FFFFFF"/>
              </w:rPr>
              <w:t xml:space="preserve">has </w:t>
            </w:r>
            <w:r w:rsidRPr="00707D4B">
              <w:rPr>
                <w:rFonts w:eastAsia="Times New Roman"/>
                <w:color w:val="000000"/>
                <w:shd w:val="clear" w:color="auto" w:fill="FFFFFF"/>
              </w:rPr>
              <w:t>not schedule</w:t>
            </w:r>
            <w:r>
              <w:rPr>
                <w:rFonts w:eastAsia="Times New Roman"/>
                <w:color w:val="000000"/>
                <w:shd w:val="clear" w:color="auto" w:fill="FFFFFF"/>
              </w:rPr>
              <w:t>d</w:t>
            </w:r>
            <w:r w:rsidRPr="00707D4B">
              <w:rPr>
                <w:rFonts w:eastAsia="Times New Roman"/>
                <w:color w:val="000000"/>
                <w:shd w:val="clear" w:color="auto" w:fill="FFFFFF"/>
              </w:rPr>
              <w:t xml:space="preserve"> </w:t>
            </w:r>
            <w:r>
              <w:rPr>
                <w:rFonts w:eastAsia="Times New Roman"/>
                <w:color w:val="000000"/>
                <w:shd w:val="clear" w:color="auto" w:fill="FFFFFF"/>
              </w:rPr>
              <w:t>a</w:t>
            </w:r>
            <w:r w:rsidRPr="00707D4B">
              <w:rPr>
                <w:rFonts w:eastAsia="Times New Roman"/>
                <w:color w:val="000000"/>
                <w:shd w:val="clear" w:color="auto" w:fill="FFFFFF"/>
              </w:rPr>
              <w:t xml:space="preserve"> public hearing due to strong feedback from school administrators, </w:t>
            </w:r>
            <w:r>
              <w:rPr>
                <w:rFonts w:eastAsia="Times New Roman"/>
                <w:color w:val="000000"/>
                <w:shd w:val="clear" w:color="auto" w:fill="FFFFFF"/>
              </w:rPr>
              <w:t>and the need to make additional revisions.</w:t>
            </w:r>
            <w:r w:rsidRPr="00707D4B">
              <w:rPr>
                <w:rFonts w:eastAsia="Times New Roman"/>
                <w:color w:val="000000"/>
                <w:shd w:val="clear" w:color="auto" w:fill="FFFFFF"/>
              </w:rPr>
              <w:t xml:space="preserve"> </w:t>
            </w:r>
            <w:r>
              <w:rPr>
                <w:rFonts w:eastAsia="Times New Roman"/>
                <w:color w:val="000000"/>
                <w:shd w:val="clear" w:color="auto" w:fill="FFFFFF"/>
              </w:rPr>
              <w:t xml:space="preserve"> CRCO</w:t>
            </w:r>
            <w:r w:rsidRPr="00707D4B">
              <w:rPr>
                <w:rFonts w:eastAsia="Times New Roman"/>
                <w:color w:val="000000"/>
                <w:shd w:val="clear" w:color="auto" w:fill="FFFFFF"/>
              </w:rPr>
              <w:t xml:space="preserve"> will be presenting the revised </w:t>
            </w:r>
            <w:r>
              <w:rPr>
                <w:rFonts w:eastAsia="Times New Roman"/>
                <w:color w:val="000000"/>
                <w:shd w:val="clear" w:color="auto" w:fill="FFFFFF"/>
              </w:rPr>
              <w:t>rules</w:t>
            </w:r>
            <w:r w:rsidRPr="00707D4B">
              <w:rPr>
                <w:rFonts w:eastAsia="Times New Roman"/>
                <w:color w:val="000000"/>
                <w:shd w:val="clear" w:color="auto" w:fill="FFFFFF"/>
              </w:rPr>
              <w:t xml:space="preserve"> to the B</w:t>
            </w:r>
            <w:r>
              <w:rPr>
                <w:rFonts w:eastAsia="Times New Roman"/>
                <w:color w:val="000000"/>
                <w:shd w:val="clear" w:color="auto" w:fill="FFFFFF"/>
              </w:rPr>
              <w:t xml:space="preserve">oard of </w:t>
            </w:r>
            <w:r w:rsidRPr="00707D4B">
              <w:rPr>
                <w:rFonts w:eastAsia="Times New Roman"/>
                <w:color w:val="000000"/>
                <w:shd w:val="clear" w:color="auto" w:fill="FFFFFF"/>
              </w:rPr>
              <w:t>E</w:t>
            </w:r>
            <w:r>
              <w:rPr>
                <w:rFonts w:eastAsia="Times New Roman"/>
                <w:color w:val="000000"/>
                <w:shd w:val="clear" w:color="auto" w:fill="FFFFFF"/>
              </w:rPr>
              <w:t>ducation</w:t>
            </w:r>
            <w:r w:rsidRPr="00707D4B">
              <w:rPr>
                <w:rFonts w:eastAsia="Times New Roman"/>
                <w:color w:val="000000"/>
                <w:shd w:val="clear" w:color="auto" w:fill="FFFFFF"/>
              </w:rPr>
              <w:t xml:space="preserve"> hopefully at the January 17th board meeting. After that, </w:t>
            </w:r>
            <w:r w:rsidR="003D60E4">
              <w:rPr>
                <w:rFonts w:eastAsia="Times New Roman"/>
                <w:color w:val="000000"/>
                <w:shd w:val="clear" w:color="auto" w:fill="FFFFFF"/>
              </w:rPr>
              <w:t>they</w:t>
            </w:r>
            <w:r w:rsidRPr="00707D4B">
              <w:rPr>
                <w:rFonts w:eastAsia="Times New Roman"/>
                <w:color w:val="000000"/>
                <w:shd w:val="clear" w:color="auto" w:fill="FFFFFF"/>
              </w:rPr>
              <w:t xml:space="preserve"> plan to schedule </w:t>
            </w:r>
            <w:r w:rsidR="003D60E4">
              <w:rPr>
                <w:rFonts w:eastAsia="Times New Roman"/>
                <w:color w:val="000000"/>
                <w:shd w:val="clear" w:color="auto" w:fill="FFFFFF"/>
              </w:rPr>
              <w:t>a</w:t>
            </w:r>
            <w:r w:rsidRPr="00707D4B">
              <w:rPr>
                <w:rFonts w:eastAsia="Times New Roman"/>
                <w:color w:val="000000"/>
                <w:shd w:val="clear" w:color="auto" w:fill="FFFFFF"/>
              </w:rPr>
              <w:t xml:space="preserve"> hearing for the end of February or March. </w:t>
            </w:r>
          </w:p>
          <w:p w14:paraId="32A9F6EF" w14:textId="2D8FB6F8" w:rsidR="007102D1" w:rsidRPr="00EA69B6" w:rsidRDefault="007102D1" w:rsidP="007102D1">
            <w:r>
              <w:t>Amanda Kaahanui reminded members that the SPIN Conference is on April 13</w:t>
            </w:r>
            <w:r w:rsidRPr="0086134E">
              <w:rPr>
                <w:vertAlign w:val="superscript"/>
              </w:rPr>
              <w:t>th</w:t>
            </w:r>
            <w:r>
              <w:t>.   She asked members to spread the word that SPIN is looking for sources of funding for additional airfare scholarships.</w:t>
            </w:r>
          </w:p>
        </w:tc>
        <w:tc>
          <w:tcPr>
            <w:tcW w:w="2970" w:type="dxa"/>
            <w:tcBorders>
              <w:top w:val="single" w:sz="6" w:space="0" w:color="auto"/>
              <w:left w:val="single" w:sz="6" w:space="0" w:color="auto"/>
              <w:bottom w:val="single" w:sz="6" w:space="0" w:color="auto"/>
              <w:right w:val="single" w:sz="6" w:space="0" w:color="auto"/>
            </w:tcBorders>
          </w:tcPr>
          <w:p w14:paraId="7D6B103F" w14:textId="256D0144" w:rsidR="007102D1" w:rsidRDefault="007102D1" w:rsidP="003A398A">
            <w:pPr>
              <w:pStyle w:val="Header"/>
              <w:tabs>
                <w:tab w:val="clear" w:pos="4320"/>
                <w:tab w:val="clear" w:pos="8640"/>
              </w:tabs>
            </w:pPr>
          </w:p>
          <w:p w14:paraId="61D65E79" w14:textId="77777777" w:rsidR="003D60E4" w:rsidRDefault="003D60E4" w:rsidP="003A398A">
            <w:pPr>
              <w:pStyle w:val="Header"/>
              <w:tabs>
                <w:tab w:val="clear" w:pos="4320"/>
                <w:tab w:val="clear" w:pos="8640"/>
              </w:tabs>
            </w:pPr>
          </w:p>
          <w:p w14:paraId="0F5B3E05" w14:textId="77777777" w:rsidR="007102D1" w:rsidRDefault="007102D1" w:rsidP="003A398A">
            <w:pPr>
              <w:pStyle w:val="Header"/>
              <w:tabs>
                <w:tab w:val="clear" w:pos="4320"/>
                <w:tab w:val="clear" w:pos="8640"/>
              </w:tabs>
            </w:pPr>
          </w:p>
          <w:p w14:paraId="3A67067B" w14:textId="77777777" w:rsidR="007102D1" w:rsidRDefault="007102D1" w:rsidP="003A398A">
            <w:pPr>
              <w:pStyle w:val="Header"/>
              <w:tabs>
                <w:tab w:val="clear" w:pos="4320"/>
                <w:tab w:val="clear" w:pos="8640"/>
              </w:tabs>
            </w:pPr>
          </w:p>
          <w:p w14:paraId="1D706D29" w14:textId="77777777" w:rsidR="007102D1" w:rsidRDefault="007102D1" w:rsidP="003A398A">
            <w:pPr>
              <w:pStyle w:val="Header"/>
              <w:tabs>
                <w:tab w:val="clear" w:pos="4320"/>
                <w:tab w:val="clear" w:pos="8640"/>
              </w:tabs>
            </w:pPr>
          </w:p>
          <w:p w14:paraId="7D187484" w14:textId="77777777" w:rsidR="007102D1" w:rsidRDefault="007102D1" w:rsidP="003A398A">
            <w:pPr>
              <w:pStyle w:val="Header"/>
              <w:tabs>
                <w:tab w:val="clear" w:pos="4320"/>
                <w:tab w:val="clear" w:pos="8640"/>
              </w:tabs>
            </w:pPr>
          </w:p>
          <w:p w14:paraId="2E3AD5C1" w14:textId="77777777" w:rsidR="007102D1" w:rsidRDefault="007102D1" w:rsidP="003A398A">
            <w:pPr>
              <w:pStyle w:val="Header"/>
              <w:tabs>
                <w:tab w:val="clear" w:pos="4320"/>
                <w:tab w:val="clear" w:pos="8640"/>
              </w:tabs>
            </w:pPr>
          </w:p>
          <w:p w14:paraId="222712E0" w14:textId="77777777" w:rsidR="007102D1" w:rsidRDefault="007102D1" w:rsidP="003A398A">
            <w:pPr>
              <w:pStyle w:val="Header"/>
              <w:tabs>
                <w:tab w:val="clear" w:pos="4320"/>
                <w:tab w:val="clear" w:pos="8640"/>
              </w:tabs>
            </w:pPr>
          </w:p>
          <w:p w14:paraId="500BD2F9" w14:textId="77777777" w:rsidR="007102D1" w:rsidRDefault="007102D1" w:rsidP="003A398A">
            <w:pPr>
              <w:pStyle w:val="Header"/>
              <w:tabs>
                <w:tab w:val="clear" w:pos="4320"/>
                <w:tab w:val="clear" w:pos="8640"/>
              </w:tabs>
            </w:pPr>
          </w:p>
          <w:p w14:paraId="0B15D103" w14:textId="77777777" w:rsidR="007102D1" w:rsidRDefault="007102D1" w:rsidP="003A398A">
            <w:pPr>
              <w:pStyle w:val="Header"/>
              <w:tabs>
                <w:tab w:val="clear" w:pos="4320"/>
                <w:tab w:val="clear" w:pos="8640"/>
              </w:tabs>
            </w:pPr>
          </w:p>
          <w:p w14:paraId="5F0029F8" w14:textId="77777777" w:rsidR="007102D1" w:rsidRDefault="007102D1" w:rsidP="003A398A">
            <w:pPr>
              <w:pStyle w:val="Header"/>
              <w:tabs>
                <w:tab w:val="clear" w:pos="4320"/>
                <w:tab w:val="clear" w:pos="8640"/>
              </w:tabs>
            </w:pPr>
          </w:p>
          <w:p w14:paraId="44FE27BB" w14:textId="4B7BAC7F" w:rsidR="007102D1" w:rsidRDefault="007102D1" w:rsidP="007102D1">
            <w:pPr>
              <w:pStyle w:val="Header"/>
              <w:tabs>
                <w:tab w:val="clear" w:pos="4320"/>
                <w:tab w:val="clear" w:pos="8640"/>
              </w:tabs>
            </w:pPr>
            <w:r>
              <w:t>Individuals willing to sponsor parent airfares to attend the SPIN Conference were asked to contact Amanda.</w:t>
            </w:r>
          </w:p>
        </w:tc>
      </w:tr>
      <w:tr w:rsidR="00C43218" w14:paraId="0B5FFAAA" w14:textId="77777777" w:rsidTr="007B7E53">
        <w:tc>
          <w:tcPr>
            <w:tcW w:w="2780" w:type="dxa"/>
            <w:tcBorders>
              <w:top w:val="single" w:sz="6" w:space="0" w:color="auto"/>
              <w:left w:val="single" w:sz="6" w:space="0" w:color="auto"/>
              <w:bottom w:val="single" w:sz="6" w:space="0" w:color="auto"/>
              <w:right w:val="single" w:sz="6" w:space="0" w:color="auto"/>
            </w:tcBorders>
          </w:tcPr>
          <w:p w14:paraId="4D5224D0" w14:textId="056C59A3" w:rsidR="00C43218" w:rsidRPr="002B3DC0" w:rsidRDefault="00BC1801" w:rsidP="001A7321">
            <w:pPr>
              <w:widowControl w:val="0"/>
              <w:rPr>
                <w:b/>
                <w:szCs w:val="24"/>
              </w:rPr>
            </w:pPr>
            <w:r>
              <w:rPr>
                <w:b/>
                <w:szCs w:val="24"/>
              </w:rPr>
              <w:t>Leading by Convening Dialogue</w:t>
            </w:r>
          </w:p>
        </w:tc>
        <w:tc>
          <w:tcPr>
            <w:tcW w:w="7470" w:type="dxa"/>
            <w:tcBorders>
              <w:top w:val="single" w:sz="6" w:space="0" w:color="auto"/>
              <w:left w:val="single" w:sz="6" w:space="0" w:color="auto"/>
              <w:bottom w:val="single" w:sz="6" w:space="0" w:color="auto"/>
              <w:right w:val="single" w:sz="6" w:space="0" w:color="auto"/>
            </w:tcBorders>
          </w:tcPr>
          <w:p w14:paraId="02B6BB19" w14:textId="0A10FB64" w:rsidR="00C43218" w:rsidRDefault="000B5B9A" w:rsidP="00227714">
            <w:pPr>
              <w:rPr>
                <w:rFonts w:eastAsia="Times New Roman"/>
                <w:noProof w:val="0"/>
                <w:szCs w:val="24"/>
              </w:rPr>
            </w:pPr>
            <w:r>
              <w:rPr>
                <w:rFonts w:eastAsia="Times New Roman"/>
                <w:noProof w:val="0"/>
                <w:szCs w:val="24"/>
              </w:rPr>
              <w:t>Joanne Cashman from the National Association of State Directors o</w:t>
            </w:r>
            <w:r w:rsidR="003839D0">
              <w:rPr>
                <w:rFonts w:eastAsia="Times New Roman"/>
                <w:noProof w:val="0"/>
                <w:szCs w:val="24"/>
              </w:rPr>
              <w:t>f Special Education and Cesar D’</w:t>
            </w:r>
            <w:r>
              <w:rPr>
                <w:rFonts w:eastAsia="Times New Roman"/>
                <w:noProof w:val="0"/>
                <w:szCs w:val="24"/>
              </w:rPr>
              <w:t>Agord from the National Center for Systemic Improvement worked with members to broaden their unders</w:t>
            </w:r>
            <w:r w:rsidR="00071646">
              <w:rPr>
                <w:rFonts w:eastAsia="Times New Roman"/>
                <w:noProof w:val="0"/>
                <w:szCs w:val="24"/>
              </w:rPr>
              <w:t>tanding of</w:t>
            </w:r>
            <w:r w:rsidR="00622851">
              <w:rPr>
                <w:rFonts w:eastAsia="Times New Roman"/>
                <w:noProof w:val="0"/>
                <w:szCs w:val="24"/>
              </w:rPr>
              <w:t xml:space="preserve"> the</w:t>
            </w:r>
            <w:r w:rsidR="00071646">
              <w:rPr>
                <w:rFonts w:eastAsia="Times New Roman"/>
                <w:noProof w:val="0"/>
                <w:szCs w:val="24"/>
              </w:rPr>
              <w:t xml:space="preserve"> Leading by Convening (LbC)</w:t>
            </w:r>
            <w:r w:rsidR="00622851">
              <w:rPr>
                <w:rFonts w:eastAsia="Times New Roman"/>
                <w:noProof w:val="0"/>
                <w:szCs w:val="24"/>
              </w:rPr>
              <w:t xml:space="preserve"> process.</w:t>
            </w:r>
          </w:p>
          <w:p w14:paraId="4F88DB79" w14:textId="77777777" w:rsidR="000B5B9A" w:rsidRDefault="000B5B9A" w:rsidP="00227714">
            <w:pPr>
              <w:rPr>
                <w:rFonts w:eastAsia="Times New Roman"/>
                <w:noProof w:val="0"/>
                <w:szCs w:val="24"/>
                <w:u w:val="single"/>
              </w:rPr>
            </w:pPr>
            <w:r w:rsidRPr="000B5B9A">
              <w:rPr>
                <w:rFonts w:eastAsia="Times New Roman"/>
                <w:noProof w:val="0"/>
                <w:szCs w:val="24"/>
                <w:u w:val="single"/>
              </w:rPr>
              <w:t>IDEA Partnership</w:t>
            </w:r>
          </w:p>
          <w:p w14:paraId="635B0C70" w14:textId="121D7583" w:rsidR="00071646" w:rsidRPr="00071646" w:rsidRDefault="00071646" w:rsidP="00622851">
            <w:pPr>
              <w:rPr>
                <w:rFonts w:eastAsia="Times New Roman"/>
                <w:noProof w:val="0"/>
                <w:szCs w:val="24"/>
              </w:rPr>
            </w:pPr>
            <w:r w:rsidRPr="00071646">
              <w:rPr>
                <w:rFonts w:eastAsia="Times New Roman"/>
                <w:noProof w:val="0"/>
                <w:szCs w:val="24"/>
              </w:rPr>
              <w:t>LbC evolved</w:t>
            </w:r>
            <w:r>
              <w:rPr>
                <w:rFonts w:eastAsia="Times New Roman"/>
                <w:noProof w:val="0"/>
                <w:szCs w:val="24"/>
              </w:rPr>
              <w:t xml:space="preserve"> from the work of the IDEA Partnership—a network of national organizations that came toge</w:t>
            </w:r>
            <w:r w:rsidR="00622851">
              <w:rPr>
                <w:rFonts w:eastAsia="Times New Roman"/>
                <w:noProof w:val="0"/>
                <w:szCs w:val="24"/>
              </w:rPr>
              <w:t>ther to build relationships while</w:t>
            </w:r>
            <w:r>
              <w:rPr>
                <w:rFonts w:eastAsia="Times New Roman"/>
                <w:noProof w:val="0"/>
                <w:szCs w:val="24"/>
              </w:rPr>
              <w:t xml:space="preserve"> </w:t>
            </w:r>
          </w:p>
        </w:tc>
        <w:tc>
          <w:tcPr>
            <w:tcW w:w="2970" w:type="dxa"/>
            <w:tcBorders>
              <w:top w:val="single" w:sz="6" w:space="0" w:color="auto"/>
              <w:left w:val="single" w:sz="6" w:space="0" w:color="auto"/>
              <w:bottom w:val="single" w:sz="6" w:space="0" w:color="auto"/>
              <w:right w:val="single" w:sz="6" w:space="0" w:color="auto"/>
            </w:tcBorders>
          </w:tcPr>
          <w:p w14:paraId="36F90C77" w14:textId="6A7CEDBD" w:rsidR="00227714" w:rsidRPr="00227714" w:rsidRDefault="00785D6C" w:rsidP="00785D6C">
            <w:pPr>
              <w:rPr>
                <w:rFonts w:eastAsia="Times New Roman"/>
                <w:noProof w:val="0"/>
              </w:rPr>
            </w:pPr>
            <w:r>
              <w:rPr>
                <w:rFonts w:eastAsia="Times New Roman"/>
                <w:noProof w:val="0"/>
              </w:rPr>
              <w:t xml:space="preserve">Joanne will send Christina Tydeman additional copies of </w:t>
            </w:r>
            <w:r w:rsidRPr="00785D6C">
              <w:rPr>
                <w:rFonts w:eastAsia="Times New Roman"/>
                <w:i/>
                <w:noProof w:val="0"/>
              </w:rPr>
              <w:t xml:space="preserve">Leading by Convening:  A Blueprint of Authentic Engagement </w:t>
            </w:r>
            <w:r>
              <w:rPr>
                <w:rFonts w:eastAsia="Times New Roman"/>
                <w:noProof w:val="0"/>
              </w:rPr>
              <w:t>to share with new SEAC members.</w:t>
            </w:r>
          </w:p>
        </w:tc>
      </w:tr>
    </w:tbl>
    <w:p w14:paraId="009D60DA" w14:textId="77777777" w:rsidR="0000175A" w:rsidRDefault="0000175A">
      <w:r>
        <w:lastRenderedPageBreak/>
        <w:t>SEAC Minutes</w:t>
      </w:r>
    </w:p>
    <w:p w14:paraId="30993F6C" w14:textId="0D2AD3F3" w:rsidR="0000175A" w:rsidRDefault="00622851">
      <w:r>
        <w:t>January 11, 2019</w:t>
      </w:r>
    </w:p>
    <w:p w14:paraId="0222DCDE" w14:textId="77777777" w:rsidR="0000175A" w:rsidRDefault="0000175A">
      <w:r>
        <w:t xml:space="preserve">Page </w:t>
      </w:r>
      <w:r w:rsidR="009C70D2">
        <w:t>2</w:t>
      </w:r>
    </w:p>
    <w:p w14:paraId="0E7FEC55" w14:textId="77777777" w:rsidR="0000175A" w:rsidRPr="00A531DA" w:rsidRDefault="0000175A">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EF2BCB" w14:paraId="6A577C33" w14:textId="77777777" w:rsidTr="003E6476">
        <w:trPr>
          <w:trHeight w:val="255"/>
        </w:trPr>
        <w:tc>
          <w:tcPr>
            <w:tcW w:w="2780" w:type="dxa"/>
            <w:tcBorders>
              <w:top w:val="single" w:sz="6" w:space="0" w:color="auto"/>
              <w:left w:val="single" w:sz="6" w:space="0" w:color="auto"/>
              <w:bottom w:val="single" w:sz="6" w:space="0" w:color="auto"/>
              <w:right w:val="single" w:sz="6" w:space="0" w:color="auto"/>
            </w:tcBorders>
          </w:tcPr>
          <w:p w14:paraId="02B1FAA2" w14:textId="7B981B2B" w:rsidR="00EF2BCB" w:rsidRDefault="00622851" w:rsidP="00644A04">
            <w:pPr>
              <w:widowControl w:val="0"/>
              <w:rPr>
                <w:b/>
              </w:rPr>
            </w:pPr>
            <w:r>
              <w:rPr>
                <w:b/>
                <w:szCs w:val="24"/>
              </w:rPr>
              <w:t>Leading by Convening Dialogue (cont.)</w:t>
            </w:r>
          </w:p>
        </w:tc>
        <w:tc>
          <w:tcPr>
            <w:tcW w:w="7470" w:type="dxa"/>
            <w:tcBorders>
              <w:top w:val="single" w:sz="6" w:space="0" w:color="auto"/>
              <w:left w:val="single" w:sz="6" w:space="0" w:color="auto"/>
              <w:bottom w:val="single" w:sz="6" w:space="0" w:color="auto"/>
              <w:right w:val="single" w:sz="6" w:space="0" w:color="auto"/>
            </w:tcBorders>
          </w:tcPr>
          <w:p w14:paraId="78D66A65" w14:textId="77777777" w:rsidR="00EF2BCB" w:rsidRDefault="00495945" w:rsidP="003839D0">
            <w:pPr>
              <w:rPr>
                <w:rFonts w:eastAsia="Times New Roman"/>
                <w:noProof w:val="0"/>
                <w:szCs w:val="24"/>
              </w:rPr>
            </w:pPr>
            <w:r>
              <w:rPr>
                <w:rFonts w:eastAsia="Times New Roman"/>
                <w:noProof w:val="0"/>
                <w:szCs w:val="24"/>
              </w:rPr>
              <w:t>carrying</w:t>
            </w:r>
            <w:r w:rsidR="00622851">
              <w:rPr>
                <w:rFonts w:eastAsia="Times New Roman"/>
                <w:noProof w:val="0"/>
                <w:szCs w:val="24"/>
              </w:rPr>
              <w:t xml:space="preserve"> out the reforms of the Individuals with Disabilities Education Act (IDEA).  </w:t>
            </w:r>
            <w:r>
              <w:rPr>
                <w:rFonts w:eastAsia="Times New Roman"/>
                <w:noProof w:val="0"/>
                <w:szCs w:val="24"/>
              </w:rPr>
              <w:t>They prioritized projects that they c</w:t>
            </w:r>
            <w:r w:rsidR="00785D6C">
              <w:rPr>
                <w:rFonts w:eastAsia="Times New Roman"/>
                <w:noProof w:val="0"/>
                <w:szCs w:val="24"/>
              </w:rPr>
              <w:t xml:space="preserve">ared about, including Communities of Practice around transition and mental health.  </w:t>
            </w:r>
            <w:r w:rsidR="003839D0">
              <w:t xml:space="preserve">Building relationships allows you to cross boundaraies and gives you room to maneuver.  </w:t>
            </w:r>
            <w:r w:rsidR="00785D6C">
              <w:rPr>
                <w:rFonts w:eastAsia="Times New Roman"/>
                <w:noProof w:val="0"/>
                <w:szCs w:val="24"/>
              </w:rPr>
              <w:t>Joanne met Steven Vannatta and Susan Wood through a Honokaa Community of Practice around the concept of youth leadership.</w:t>
            </w:r>
          </w:p>
          <w:p w14:paraId="264EC66B" w14:textId="164BC723" w:rsidR="00DB794E" w:rsidRDefault="0029337D" w:rsidP="003839D0">
            <w:pPr>
              <w:rPr>
                <w:u w:val="single"/>
              </w:rPr>
            </w:pPr>
            <w:r w:rsidRPr="0029337D">
              <w:rPr>
                <w:u w:val="single"/>
              </w:rPr>
              <w:t xml:space="preserve">Basis of </w:t>
            </w:r>
            <w:r w:rsidR="003C129C">
              <w:rPr>
                <w:u w:val="single"/>
              </w:rPr>
              <w:t>Leading by Convening</w:t>
            </w:r>
          </w:p>
          <w:p w14:paraId="7EFFFB5C" w14:textId="77777777" w:rsidR="0029337D" w:rsidRDefault="0029337D" w:rsidP="003C129C">
            <w:r>
              <w:t xml:space="preserve">Steven and Joanne </w:t>
            </w:r>
            <w:r w:rsidR="003C129C">
              <w:t>gave a brief overview, emphasizing that it is a guide to interaction where families and other key stakeholders are included in every activity as authentic equal partners.  The interaction improves understanding, and the shared work creates a bond between participants.  If you want family members, teachers and community members to have a voice, then inviting them to the table is not enough; you have to aid their understanding and provide opportunities to have a meaningful role.</w:t>
            </w:r>
          </w:p>
          <w:p w14:paraId="60A4301F" w14:textId="77777777" w:rsidR="003D0662" w:rsidRDefault="003D0662" w:rsidP="003C129C">
            <w:pPr>
              <w:rPr>
                <w:u w:val="single"/>
              </w:rPr>
            </w:pPr>
            <w:r w:rsidRPr="003D0662">
              <w:rPr>
                <w:u w:val="single"/>
              </w:rPr>
              <w:t>Infographics as a shared work product</w:t>
            </w:r>
          </w:p>
          <w:p w14:paraId="16E0AC7B" w14:textId="77777777" w:rsidR="003D0662" w:rsidRDefault="003D0662" w:rsidP="003C129C">
            <w:r>
              <w:t>Last March, Joanne introduced infographics to SEAC as a way to take complex information and express it simply, so that others gain enough understanding to enter a conversation on the topical issue.</w:t>
            </w:r>
            <w:r w:rsidR="004B5A7F">
              <w:t xml:space="preserve">  She reminded members of the Infographic Design Principles developed by DaSy:</w:t>
            </w:r>
          </w:p>
          <w:p w14:paraId="5E295FD3" w14:textId="412B33BF" w:rsidR="004B5A7F" w:rsidRPr="005D6FE7" w:rsidRDefault="004B5A7F" w:rsidP="005D6FE7">
            <w:pPr>
              <w:pStyle w:val="ListParagraph"/>
              <w:numPr>
                <w:ilvl w:val="0"/>
                <w:numId w:val="13"/>
              </w:numPr>
              <w:rPr>
                <w:rFonts w:ascii="Times" w:hAnsi="Times"/>
              </w:rPr>
            </w:pPr>
            <w:r w:rsidRPr="005D6FE7">
              <w:rPr>
                <w:rFonts w:ascii="Times" w:hAnsi="Times"/>
              </w:rPr>
              <w:t>Communicate one central idea</w:t>
            </w:r>
            <w:r w:rsidR="005D6FE7" w:rsidRPr="005D6FE7">
              <w:rPr>
                <w:rFonts w:ascii="Times" w:hAnsi="Times"/>
              </w:rPr>
              <w:t>;</w:t>
            </w:r>
          </w:p>
          <w:p w14:paraId="34241AF3" w14:textId="316CEF25" w:rsidR="004B5A7F" w:rsidRPr="005D6FE7" w:rsidRDefault="004B5A7F" w:rsidP="005D6FE7">
            <w:pPr>
              <w:pStyle w:val="ListParagraph"/>
              <w:numPr>
                <w:ilvl w:val="0"/>
                <w:numId w:val="13"/>
              </w:numPr>
              <w:rPr>
                <w:rFonts w:ascii="Times" w:hAnsi="Times"/>
              </w:rPr>
            </w:pPr>
            <w:r w:rsidRPr="005D6FE7">
              <w:rPr>
                <w:rFonts w:ascii="Times" w:hAnsi="Times"/>
              </w:rPr>
              <w:t>Communicate the data clearly</w:t>
            </w:r>
            <w:r w:rsidR="005D6FE7" w:rsidRPr="005D6FE7">
              <w:rPr>
                <w:rFonts w:ascii="Times" w:hAnsi="Times"/>
              </w:rPr>
              <w:t>;</w:t>
            </w:r>
          </w:p>
          <w:p w14:paraId="6AF5C1AB" w14:textId="3B1F203B" w:rsidR="004B5A7F" w:rsidRPr="005D6FE7" w:rsidRDefault="004B5A7F" w:rsidP="005D6FE7">
            <w:pPr>
              <w:pStyle w:val="ListParagraph"/>
              <w:numPr>
                <w:ilvl w:val="0"/>
                <w:numId w:val="13"/>
              </w:numPr>
              <w:rPr>
                <w:rFonts w:ascii="Times" w:hAnsi="Times"/>
              </w:rPr>
            </w:pPr>
            <w:r w:rsidRPr="005D6FE7">
              <w:rPr>
                <w:rFonts w:ascii="Times" w:hAnsi="Times"/>
              </w:rPr>
              <w:t>Create layers</w:t>
            </w:r>
            <w:r w:rsidR="005D6FE7" w:rsidRPr="005D6FE7">
              <w:rPr>
                <w:rFonts w:ascii="Times" w:hAnsi="Times"/>
              </w:rPr>
              <w:t>;</w:t>
            </w:r>
          </w:p>
          <w:p w14:paraId="1B1124F9" w14:textId="34243D58" w:rsidR="004B5A7F" w:rsidRPr="005D6FE7" w:rsidRDefault="004B5A7F" w:rsidP="005D6FE7">
            <w:pPr>
              <w:pStyle w:val="ListParagraph"/>
              <w:numPr>
                <w:ilvl w:val="0"/>
                <w:numId w:val="13"/>
              </w:numPr>
              <w:rPr>
                <w:rFonts w:ascii="Times" w:hAnsi="Times"/>
              </w:rPr>
            </w:pPr>
            <w:r w:rsidRPr="005D6FE7">
              <w:rPr>
                <w:rFonts w:ascii="Times" w:hAnsi="Times"/>
              </w:rPr>
              <w:t>Make it easy to navigate</w:t>
            </w:r>
            <w:r w:rsidR="005D6FE7" w:rsidRPr="005D6FE7">
              <w:rPr>
                <w:rFonts w:ascii="Times" w:hAnsi="Times"/>
              </w:rPr>
              <w:t>;</w:t>
            </w:r>
            <w:r w:rsidRPr="005D6FE7">
              <w:rPr>
                <w:rFonts w:ascii="Times" w:hAnsi="Times"/>
              </w:rPr>
              <w:t xml:space="preserve"> and</w:t>
            </w:r>
          </w:p>
          <w:p w14:paraId="4FAFE806" w14:textId="77777777" w:rsidR="004B5A7F" w:rsidRPr="005D6FE7" w:rsidRDefault="004B5A7F" w:rsidP="005D6FE7">
            <w:pPr>
              <w:pStyle w:val="ListParagraph"/>
              <w:numPr>
                <w:ilvl w:val="0"/>
                <w:numId w:val="13"/>
              </w:numPr>
            </w:pPr>
            <w:r w:rsidRPr="005D6FE7">
              <w:rPr>
                <w:rFonts w:ascii="Times" w:hAnsi="Times"/>
              </w:rPr>
              <w:t>Keep it beautiful</w:t>
            </w:r>
            <w:r w:rsidR="005D6FE7" w:rsidRPr="005D6FE7">
              <w:rPr>
                <w:rFonts w:ascii="Times" w:hAnsi="Times"/>
              </w:rPr>
              <w:t>.</w:t>
            </w:r>
          </w:p>
          <w:p w14:paraId="560D0A56" w14:textId="0134F0BA" w:rsidR="005D6FE7" w:rsidRDefault="005D6FE7" w:rsidP="005D6FE7">
            <w:pPr>
              <w:rPr>
                <w:u w:val="single"/>
              </w:rPr>
            </w:pPr>
            <w:r w:rsidRPr="005D6FE7">
              <w:rPr>
                <w:u w:val="single"/>
              </w:rPr>
              <w:t>Infographics Steps</w:t>
            </w:r>
            <w:r w:rsidR="00207176">
              <w:rPr>
                <w:u w:val="single"/>
              </w:rPr>
              <w:t xml:space="preserve"> for Buiding Engagement</w:t>
            </w:r>
          </w:p>
          <w:p w14:paraId="4CDB035B" w14:textId="6940C20C" w:rsidR="000E5724" w:rsidRDefault="005D6FE7" w:rsidP="000E5724">
            <w:r w:rsidRPr="005D6FE7">
              <w:t xml:space="preserve">Step 1:  </w:t>
            </w:r>
            <w:r w:rsidRPr="000E5724">
              <w:rPr>
                <w:b/>
              </w:rPr>
              <w:t>Co-create infographics together</w:t>
            </w:r>
            <w:r>
              <w:t>.  SEAC workgroups have developed four drafts on various topics.</w:t>
            </w:r>
            <w:r w:rsidR="00207176">
              <w:t xml:space="preserve">  </w:t>
            </w:r>
            <w:r w:rsidR="000E5724">
              <w:t xml:space="preserve">Joanne suggested </w:t>
            </w:r>
            <w:r>
              <w:t>a vetting process for gaining final approval</w:t>
            </w:r>
            <w:r w:rsidR="00D56C5B">
              <w:t xml:space="preserve"> using a draft</w:t>
            </w:r>
            <w:r w:rsidR="000E5724">
              <w:t xml:space="preserve"> </w:t>
            </w:r>
            <w:r w:rsidR="000E5724" w:rsidRPr="000E5724">
              <w:rPr>
                <w:i/>
              </w:rPr>
              <w:t>Infographic Review Form</w:t>
            </w:r>
            <w:r w:rsidR="000E5724">
              <w:t xml:space="preserve"> based on the </w:t>
            </w:r>
            <w:r w:rsidR="00C6335D">
              <w:t>first four</w:t>
            </w:r>
            <w:r w:rsidR="00D56C5B">
              <w:t xml:space="preserve"> design princi</w:t>
            </w:r>
            <w:r w:rsidR="000E5724">
              <w:t xml:space="preserve">ples above plus a </w:t>
            </w:r>
            <w:r w:rsidR="00C6335D">
              <w:t>fifth</w:t>
            </w:r>
            <w:r w:rsidR="000E5724">
              <w:t xml:space="preserve"> principle:  that the infographic be free of errors.</w:t>
            </w:r>
          </w:p>
          <w:p w14:paraId="00E8D2ED" w14:textId="16CD1905" w:rsidR="007003C3" w:rsidRPr="007003C3" w:rsidRDefault="007003C3" w:rsidP="00D56C5B">
            <w:r>
              <w:t xml:space="preserve">Step 2:  </w:t>
            </w:r>
            <w:r w:rsidRPr="007003C3">
              <w:rPr>
                <w:b/>
              </w:rPr>
              <w:t>Develop Dialogue Guides.</w:t>
            </w:r>
            <w:r>
              <w:rPr>
                <w:b/>
              </w:rPr>
              <w:t xml:space="preserve">  </w:t>
            </w:r>
            <w:r>
              <w:t xml:space="preserve">Joanne explained that these guides are a way of leading stakeholders to have conversations around </w:t>
            </w:r>
            <w:r w:rsidR="00D56C5B">
              <w:t>how</w:t>
            </w:r>
            <w:r>
              <w:t xml:space="preserve"> to use the finished infographics.</w:t>
            </w:r>
            <w:r w:rsidR="0008181E">
              <w:t xml:space="preserve">  She cited two examples:  in Georgia</w:t>
            </w:r>
            <w:r w:rsidR="00D56C5B">
              <w:t>,</w:t>
            </w:r>
            <w:r w:rsidR="0008181E">
              <w:t xml:space="preserve"> infographics</w:t>
            </w:r>
          </w:p>
        </w:tc>
        <w:tc>
          <w:tcPr>
            <w:tcW w:w="2970" w:type="dxa"/>
            <w:tcBorders>
              <w:top w:val="single" w:sz="6" w:space="0" w:color="auto"/>
              <w:left w:val="single" w:sz="6" w:space="0" w:color="auto"/>
              <w:bottom w:val="single" w:sz="6" w:space="0" w:color="auto"/>
              <w:right w:val="single" w:sz="6" w:space="0" w:color="auto"/>
            </w:tcBorders>
          </w:tcPr>
          <w:p w14:paraId="7EF078CE" w14:textId="5AEBBC63" w:rsidR="00EF2BCB" w:rsidRDefault="00EF2BCB" w:rsidP="00A32392"/>
        </w:tc>
      </w:tr>
    </w:tbl>
    <w:p w14:paraId="5CABFF5E" w14:textId="39A83897" w:rsidR="0000175A" w:rsidRDefault="0000175A">
      <w:r>
        <w:lastRenderedPageBreak/>
        <w:t>SEAC Minutes</w:t>
      </w:r>
    </w:p>
    <w:p w14:paraId="4D70AAE4" w14:textId="0FC990BA" w:rsidR="00753FF8" w:rsidRDefault="003839D0" w:rsidP="00753FF8">
      <w:r>
        <w:t>January 11, 2019</w:t>
      </w:r>
    </w:p>
    <w:p w14:paraId="7658BC53" w14:textId="77777777" w:rsidR="00DE3DB0" w:rsidRDefault="0000175A">
      <w:r>
        <w:t xml:space="preserve">Page </w:t>
      </w:r>
      <w:r w:rsidR="009C70D2">
        <w:t>3</w:t>
      </w:r>
    </w:p>
    <w:p w14:paraId="687F0EAF" w14:textId="77777777" w:rsidR="00B23102" w:rsidRDefault="00B23102"/>
    <w:tbl>
      <w:tblPr>
        <w:tblW w:w="13220" w:type="dxa"/>
        <w:tblLayout w:type="fixed"/>
        <w:tblCellMar>
          <w:left w:w="80" w:type="dxa"/>
          <w:right w:w="80" w:type="dxa"/>
        </w:tblCellMar>
        <w:tblLook w:val="0000" w:firstRow="0" w:lastRow="0" w:firstColumn="0" w:lastColumn="0" w:noHBand="0" w:noVBand="0"/>
      </w:tblPr>
      <w:tblGrid>
        <w:gridCol w:w="2780"/>
        <w:gridCol w:w="7472"/>
        <w:gridCol w:w="2968"/>
      </w:tblGrid>
      <w:tr w:rsidR="007003C3" w14:paraId="75AFD8BD" w14:textId="77777777" w:rsidTr="00472972">
        <w:tc>
          <w:tcPr>
            <w:tcW w:w="2780" w:type="dxa"/>
            <w:tcBorders>
              <w:top w:val="single" w:sz="6" w:space="0" w:color="auto"/>
              <w:left w:val="single" w:sz="6" w:space="0" w:color="auto"/>
              <w:bottom w:val="single" w:sz="6" w:space="0" w:color="auto"/>
              <w:right w:val="single" w:sz="6" w:space="0" w:color="auto"/>
            </w:tcBorders>
          </w:tcPr>
          <w:p w14:paraId="069C46A5" w14:textId="34631B12" w:rsidR="007003C3" w:rsidRPr="003D6FB1" w:rsidRDefault="0008181E" w:rsidP="003839D0">
            <w:pPr>
              <w:rPr>
                <w:b/>
              </w:rPr>
            </w:pPr>
            <w:r>
              <w:rPr>
                <w:b/>
                <w:szCs w:val="24"/>
              </w:rPr>
              <w:t>Leading by Convening Dialogue (cont.)</w:t>
            </w:r>
          </w:p>
        </w:tc>
        <w:tc>
          <w:tcPr>
            <w:tcW w:w="7472" w:type="dxa"/>
            <w:tcBorders>
              <w:top w:val="single" w:sz="6" w:space="0" w:color="auto"/>
              <w:left w:val="single" w:sz="6" w:space="0" w:color="auto"/>
              <w:bottom w:val="single" w:sz="6" w:space="0" w:color="auto"/>
              <w:right w:val="single" w:sz="6" w:space="0" w:color="auto"/>
            </w:tcBorders>
          </w:tcPr>
          <w:p w14:paraId="3B5D5F85" w14:textId="3FA83481" w:rsidR="0008181E" w:rsidRDefault="0008181E" w:rsidP="0008181E">
            <w:pPr>
              <w:rPr>
                <w:u w:val="single"/>
              </w:rPr>
            </w:pPr>
            <w:r w:rsidRPr="005D6FE7">
              <w:rPr>
                <w:u w:val="single"/>
              </w:rPr>
              <w:t>Infographics Steps</w:t>
            </w:r>
            <w:r>
              <w:rPr>
                <w:u w:val="single"/>
              </w:rPr>
              <w:t xml:space="preserve"> for Buiding Engagement (cont.)</w:t>
            </w:r>
          </w:p>
          <w:p w14:paraId="23EBFA9D" w14:textId="6A397802" w:rsidR="000F50D4" w:rsidRDefault="0008181E" w:rsidP="0008181E">
            <w:r>
              <w:t>w</w:t>
            </w:r>
            <w:r w:rsidRPr="0008181E">
              <w:t xml:space="preserve">ere developed around </w:t>
            </w:r>
            <w:r>
              <w:t>data showing flagging academic achievement.  Then voluntary teams were formed in the poorest districts with the poorest outcomes.  The teams</w:t>
            </w:r>
            <w:r w:rsidR="00D56C5B">
              <w:t>,</w:t>
            </w:r>
            <w:r>
              <w:t xml:space="preserve"> which included principals, realtors, ministers, </w:t>
            </w:r>
            <w:r w:rsidR="000F50D4">
              <w:t xml:space="preserve">and </w:t>
            </w:r>
            <w:r>
              <w:t>parents of students who had dropped out</w:t>
            </w:r>
            <w:r w:rsidR="00D56C5B">
              <w:t>,</w:t>
            </w:r>
            <w:r w:rsidR="000F50D4">
              <w:t xml:space="preserve"> called themselves Circles of Adults Focused on Education (CAFEs), using the dialogue guides to start conversations and come up with possible solutions.  </w:t>
            </w:r>
          </w:p>
          <w:p w14:paraId="08264816" w14:textId="79B0AC7B" w:rsidR="0008181E" w:rsidRDefault="000F50D4" w:rsidP="0008181E">
            <w:r>
              <w:t xml:space="preserve">In Texas, school personnel were mistaking student behavior brought on by the trauma </w:t>
            </w:r>
            <w:r w:rsidR="00D56C5B">
              <w:t>caused by the</w:t>
            </w:r>
            <w:r>
              <w:t xml:space="preserve"> hurricane aftermath as a discipline problem.  Concerned stakeholders brought in positive behavior support experts and created dialogue guides on how to address the student</w:t>
            </w:r>
            <w:r w:rsidR="00D56C5B">
              <w:t>s’</w:t>
            </w:r>
            <w:r>
              <w:t xml:space="preserve"> trauma.</w:t>
            </w:r>
          </w:p>
          <w:p w14:paraId="49FE0C6B" w14:textId="1393221E" w:rsidR="000F50D4" w:rsidRDefault="000F50D4" w:rsidP="0008181E">
            <w:r>
              <w:t xml:space="preserve">Step 3: </w:t>
            </w:r>
            <w:r w:rsidRPr="000F50D4">
              <w:rPr>
                <w:b/>
              </w:rPr>
              <w:t>Engage networks</w:t>
            </w:r>
            <w:r w:rsidRPr="00CE17C8">
              <w:t>.</w:t>
            </w:r>
            <w:r w:rsidR="00E02AE1" w:rsidRPr="00CE17C8">
              <w:t xml:space="preserve">  </w:t>
            </w:r>
            <w:r w:rsidR="00CE17C8" w:rsidRPr="00CE17C8">
              <w:t>Joanne</w:t>
            </w:r>
            <w:r w:rsidR="00CE17C8">
              <w:t xml:space="preserve"> encouraged SEAC to design two-way interaction (feedback loops) as a means of authentic engagement with a wide range of people.  From those conversations comes greater insights and new ideas.  She asked SEAC to envision ho</w:t>
            </w:r>
            <w:r w:rsidR="007425FD">
              <w:t>w SEAC members could host dialo</w:t>
            </w:r>
            <w:r w:rsidR="00CE17C8">
              <w:t>g</w:t>
            </w:r>
            <w:r w:rsidR="007425FD">
              <w:t>u</w:t>
            </w:r>
            <w:r w:rsidR="00CE17C8">
              <w:t>es and encourage other groups to do so (i.e. CCCs).</w:t>
            </w:r>
          </w:p>
          <w:p w14:paraId="7C306097" w14:textId="0F7DD694" w:rsidR="00CE17C8" w:rsidRDefault="000F6E70" w:rsidP="0008181E">
            <w:pPr>
              <w:rPr>
                <w:u w:val="single"/>
              </w:rPr>
            </w:pPr>
            <w:r w:rsidRPr="00BC4719">
              <w:rPr>
                <w:u w:val="single"/>
              </w:rPr>
              <w:t xml:space="preserve">Sample </w:t>
            </w:r>
            <w:r w:rsidR="00BC4719" w:rsidRPr="00BC4719">
              <w:rPr>
                <w:u w:val="single"/>
              </w:rPr>
              <w:t>v</w:t>
            </w:r>
            <w:r w:rsidRPr="00BC4719">
              <w:rPr>
                <w:u w:val="single"/>
              </w:rPr>
              <w:t xml:space="preserve">etting </w:t>
            </w:r>
            <w:r w:rsidR="00BC4719" w:rsidRPr="00BC4719">
              <w:rPr>
                <w:u w:val="single"/>
              </w:rPr>
              <w:t>process</w:t>
            </w:r>
            <w:r w:rsidR="008F42AB">
              <w:rPr>
                <w:u w:val="single"/>
              </w:rPr>
              <w:t xml:space="preserve"> – Infographic on </w:t>
            </w:r>
            <w:r w:rsidR="00BA4FA1">
              <w:rPr>
                <w:u w:val="single"/>
              </w:rPr>
              <w:t>Parents Helping Kids to Read</w:t>
            </w:r>
          </w:p>
          <w:p w14:paraId="03EAED80" w14:textId="77777777" w:rsidR="00BD0DA6" w:rsidRDefault="00BA4FA1" w:rsidP="0008181E">
            <w:r w:rsidRPr="00BA4FA1">
              <w:t>Joanne asked for a volunteer workgroup</w:t>
            </w:r>
            <w:r>
              <w:t xml:space="preserve"> to showcase their draft and receive feedback using the new review process.  Susan R. explained that the infographic titled “I Can Help My Child to Read” was developed by the SSIP workgroup (Tricia, Dale, Steven, Christina and Susan) to encourag</w:t>
            </w:r>
            <w:r w:rsidR="00BD0DA6">
              <w:t xml:space="preserve">e parents to support their young child to learn to read.  </w:t>
            </w:r>
          </w:p>
          <w:p w14:paraId="1FED297A" w14:textId="07F361FF" w:rsidR="00BC4719" w:rsidRDefault="00BD0DA6" w:rsidP="0008181E">
            <w:r w:rsidRPr="00BD0DA6">
              <w:rPr>
                <w:i/>
              </w:rPr>
              <w:t>Description</w:t>
            </w:r>
            <w:r>
              <w:t>:  It talks about spending time daily reading to the child, turning on closed captions on TV programs watched by the child, making books available at home and downloading apps for phone/tablet/computer that support phonics and sight words.</w:t>
            </w:r>
          </w:p>
          <w:p w14:paraId="1F032F82" w14:textId="5B0E7D28" w:rsidR="00BD0DA6" w:rsidRDefault="00A90A50" w:rsidP="0008181E">
            <w:r>
              <w:rPr>
                <w:i/>
              </w:rPr>
              <w:t>Feedback</w:t>
            </w:r>
            <w:r w:rsidRPr="00A90A50">
              <w:rPr>
                <w:i/>
              </w:rPr>
              <w:t>:</w:t>
            </w:r>
            <w:r>
              <w:rPr>
                <w:i/>
              </w:rPr>
              <w:t xml:space="preserve">  </w:t>
            </w:r>
            <w:r w:rsidRPr="00A90A50">
              <w:t>Comments included</w:t>
            </w:r>
            <w:r>
              <w:t xml:space="preserve"> the following:</w:t>
            </w:r>
          </w:p>
          <w:p w14:paraId="55E444F7" w14:textId="77777777" w:rsidR="00A90A50" w:rsidRPr="007A2274" w:rsidRDefault="00A90A50" w:rsidP="007A2274">
            <w:pPr>
              <w:pStyle w:val="ListParagraph"/>
              <w:numPr>
                <w:ilvl w:val="0"/>
                <w:numId w:val="14"/>
              </w:numPr>
              <w:rPr>
                <w:rFonts w:ascii="Times" w:hAnsi="Times"/>
              </w:rPr>
            </w:pPr>
            <w:r w:rsidRPr="007A2274">
              <w:rPr>
                <w:rFonts w:ascii="Times" w:hAnsi="Times"/>
              </w:rPr>
              <w:t>UH Sped Department has a checklist for reading apps to determine which are appropriate;</w:t>
            </w:r>
          </w:p>
          <w:p w14:paraId="1863DE38" w14:textId="35BDC1FA" w:rsidR="00A90A50" w:rsidRPr="007A2274" w:rsidRDefault="00A90A50" w:rsidP="007A2274">
            <w:pPr>
              <w:pStyle w:val="ListParagraph"/>
              <w:numPr>
                <w:ilvl w:val="0"/>
                <w:numId w:val="14"/>
              </w:numPr>
              <w:rPr>
                <w:rFonts w:ascii="Times" w:hAnsi="Times"/>
              </w:rPr>
            </w:pPr>
            <w:r w:rsidRPr="007A2274">
              <w:rPr>
                <w:rFonts w:ascii="Times" w:hAnsi="Times"/>
              </w:rPr>
              <w:t>Include resources for parents who are struggling to read themselves (for example, Hawaii Literacy</w:t>
            </w:r>
            <w:r w:rsidR="00BD131E">
              <w:rPr>
                <w:rFonts w:ascii="Times" w:hAnsi="Times"/>
              </w:rPr>
              <w:t xml:space="preserve"> </w:t>
            </w:r>
            <w:r w:rsidRPr="007A2274">
              <w:rPr>
                <w:rFonts w:ascii="Times" w:hAnsi="Times"/>
              </w:rPr>
              <w:t>offering free tutoring for parents);</w:t>
            </w:r>
          </w:p>
          <w:p w14:paraId="344ED08E" w14:textId="360E1D34" w:rsidR="007003C3" w:rsidRPr="0054312C" w:rsidRDefault="00A90A50" w:rsidP="0054312C">
            <w:pPr>
              <w:pStyle w:val="ListParagraph"/>
              <w:numPr>
                <w:ilvl w:val="0"/>
                <w:numId w:val="14"/>
              </w:numPr>
              <w:rPr>
                <w:rFonts w:ascii="Times" w:hAnsi="Times"/>
              </w:rPr>
            </w:pPr>
            <w:r w:rsidRPr="007A2274">
              <w:rPr>
                <w:rFonts w:ascii="Times" w:hAnsi="Times"/>
              </w:rPr>
              <w:t xml:space="preserve">Offer the infographic in </w:t>
            </w:r>
            <w:r w:rsidR="009839AA" w:rsidRPr="007A2274">
              <w:rPr>
                <w:rFonts w:ascii="Times" w:hAnsi="Times"/>
              </w:rPr>
              <w:t>different languages;</w:t>
            </w:r>
          </w:p>
        </w:tc>
        <w:tc>
          <w:tcPr>
            <w:tcW w:w="2968" w:type="dxa"/>
            <w:tcBorders>
              <w:top w:val="single" w:sz="6" w:space="0" w:color="auto"/>
              <w:left w:val="single" w:sz="6" w:space="0" w:color="auto"/>
              <w:bottom w:val="single" w:sz="6" w:space="0" w:color="auto"/>
              <w:right w:val="single" w:sz="6" w:space="0" w:color="auto"/>
            </w:tcBorders>
          </w:tcPr>
          <w:p w14:paraId="4EA39C4B" w14:textId="77777777" w:rsidR="007003C3" w:rsidRDefault="007003C3" w:rsidP="00F802DF"/>
        </w:tc>
      </w:tr>
    </w:tbl>
    <w:p w14:paraId="56831873" w14:textId="77777777" w:rsidR="0054312C" w:rsidRDefault="0054312C"/>
    <w:p w14:paraId="26A0A7F6" w14:textId="5387EF46" w:rsidR="0000175A" w:rsidRDefault="0000175A">
      <w:r>
        <w:lastRenderedPageBreak/>
        <w:t>SEAC Minutes</w:t>
      </w:r>
      <w:r w:rsidR="00692458">
        <w:t>Amanda</w:t>
      </w:r>
    </w:p>
    <w:p w14:paraId="53661F3F" w14:textId="77777777" w:rsidR="003839D0" w:rsidRDefault="003839D0" w:rsidP="003839D0">
      <w:r>
        <w:t>January 11, 2019</w:t>
      </w:r>
    </w:p>
    <w:p w14:paraId="2BFD312B" w14:textId="2F0194AB" w:rsidR="00E25230" w:rsidRDefault="0000175A">
      <w:r>
        <w:t xml:space="preserve">Page </w:t>
      </w:r>
      <w:r w:rsidR="00A355C0">
        <w:t>4</w:t>
      </w:r>
    </w:p>
    <w:p w14:paraId="4905794D" w14:textId="77777777" w:rsidR="006C50CF" w:rsidRDefault="006C50CF"/>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579A1" w14:paraId="31766935" w14:textId="77777777" w:rsidTr="00191127">
        <w:trPr>
          <w:trHeight w:val="4278"/>
        </w:trPr>
        <w:tc>
          <w:tcPr>
            <w:tcW w:w="2780" w:type="dxa"/>
            <w:tcBorders>
              <w:top w:val="single" w:sz="6" w:space="0" w:color="auto"/>
              <w:left w:val="single" w:sz="6" w:space="0" w:color="auto"/>
              <w:bottom w:val="single" w:sz="6" w:space="0" w:color="auto"/>
              <w:right w:val="single" w:sz="6" w:space="0" w:color="auto"/>
            </w:tcBorders>
          </w:tcPr>
          <w:p w14:paraId="095510A3" w14:textId="0AFE0AC1" w:rsidR="000579A1" w:rsidRDefault="0054312C" w:rsidP="006C7F21">
            <w:pPr>
              <w:rPr>
                <w:b/>
                <w:szCs w:val="24"/>
              </w:rPr>
            </w:pPr>
            <w:r>
              <w:rPr>
                <w:b/>
                <w:szCs w:val="24"/>
              </w:rPr>
              <w:t>Leading by Convening Dialogue (cont.)</w:t>
            </w:r>
          </w:p>
        </w:tc>
        <w:tc>
          <w:tcPr>
            <w:tcW w:w="7380" w:type="dxa"/>
            <w:tcBorders>
              <w:top w:val="single" w:sz="6" w:space="0" w:color="auto"/>
              <w:left w:val="single" w:sz="6" w:space="0" w:color="auto"/>
              <w:bottom w:val="single" w:sz="6" w:space="0" w:color="auto"/>
              <w:right w:val="single" w:sz="6" w:space="0" w:color="auto"/>
            </w:tcBorders>
          </w:tcPr>
          <w:p w14:paraId="2E7F27AB" w14:textId="77777777" w:rsidR="008E4B90" w:rsidRDefault="008E4B90" w:rsidP="008E4B90">
            <w:pPr>
              <w:rPr>
                <w:u w:val="single"/>
              </w:rPr>
            </w:pPr>
            <w:r w:rsidRPr="00BC4719">
              <w:rPr>
                <w:u w:val="single"/>
              </w:rPr>
              <w:t>Sample vetting process</w:t>
            </w:r>
            <w:r>
              <w:rPr>
                <w:u w:val="single"/>
              </w:rPr>
              <w:t xml:space="preserve"> – Infographic on Parents Helping Kids to Read</w:t>
            </w:r>
          </w:p>
          <w:p w14:paraId="009064F0" w14:textId="34A11465" w:rsidR="0054312C" w:rsidRPr="007A2274" w:rsidRDefault="0054312C" w:rsidP="0054312C">
            <w:pPr>
              <w:pStyle w:val="ListParagraph"/>
              <w:numPr>
                <w:ilvl w:val="0"/>
                <w:numId w:val="14"/>
              </w:numPr>
              <w:rPr>
                <w:rFonts w:ascii="Times" w:hAnsi="Times"/>
              </w:rPr>
            </w:pPr>
            <w:r w:rsidRPr="007A2274">
              <w:rPr>
                <w:rFonts w:ascii="Times" w:hAnsi="Times"/>
              </w:rPr>
              <w:t>Check to see if the child’s teacher will share</w:t>
            </w:r>
            <w:r w:rsidR="002E009D">
              <w:rPr>
                <w:rFonts w:ascii="Times" w:hAnsi="Times"/>
              </w:rPr>
              <w:t xml:space="preserve"> his/</w:t>
            </w:r>
            <w:r w:rsidRPr="007A2274">
              <w:rPr>
                <w:rFonts w:ascii="Times" w:hAnsi="Times"/>
              </w:rPr>
              <w:t>her license for a reading app with parents;</w:t>
            </w:r>
          </w:p>
          <w:p w14:paraId="3E7CF96B" w14:textId="36F6A415" w:rsidR="0054312C" w:rsidRPr="00EF427A" w:rsidRDefault="0054312C" w:rsidP="0054312C">
            <w:pPr>
              <w:pStyle w:val="ListParagraph"/>
              <w:numPr>
                <w:ilvl w:val="0"/>
                <w:numId w:val="14"/>
              </w:numPr>
              <w:rPr>
                <w:rFonts w:ascii="Times" w:hAnsi="Times"/>
                <w:i/>
              </w:rPr>
            </w:pPr>
            <w:r w:rsidRPr="007A2274">
              <w:rPr>
                <w:rFonts w:ascii="Times" w:hAnsi="Times"/>
              </w:rPr>
              <w:t>Use QR codes to l</w:t>
            </w:r>
            <w:r w:rsidR="001C410C">
              <w:rPr>
                <w:rFonts w:ascii="Times" w:hAnsi="Times"/>
              </w:rPr>
              <w:t xml:space="preserve">ink to software that will read </w:t>
            </w:r>
            <w:r w:rsidRPr="007A2274">
              <w:rPr>
                <w:rFonts w:ascii="Times" w:hAnsi="Times"/>
              </w:rPr>
              <w:t>information to them;</w:t>
            </w:r>
          </w:p>
          <w:p w14:paraId="796FC3EC" w14:textId="6DCA62AB" w:rsidR="00EF427A" w:rsidRPr="00BD131E" w:rsidRDefault="00AD42B5" w:rsidP="0054312C">
            <w:pPr>
              <w:pStyle w:val="ListParagraph"/>
              <w:numPr>
                <w:ilvl w:val="0"/>
                <w:numId w:val="14"/>
              </w:numPr>
              <w:rPr>
                <w:rFonts w:ascii="Times" w:hAnsi="Times"/>
                <w:i/>
              </w:rPr>
            </w:pPr>
            <w:r>
              <w:rPr>
                <w:rFonts w:ascii="Times" w:hAnsi="Times"/>
              </w:rPr>
              <w:t>Have the child read to the parent as well;</w:t>
            </w:r>
          </w:p>
          <w:p w14:paraId="5B795A7B" w14:textId="083820C7" w:rsidR="0054312C" w:rsidRPr="00BD131E" w:rsidRDefault="0054312C" w:rsidP="0054312C">
            <w:pPr>
              <w:pStyle w:val="ListParagraph"/>
              <w:numPr>
                <w:ilvl w:val="0"/>
                <w:numId w:val="14"/>
              </w:numPr>
              <w:rPr>
                <w:rFonts w:ascii="Times" w:hAnsi="Times"/>
                <w:i/>
              </w:rPr>
            </w:pPr>
            <w:r>
              <w:rPr>
                <w:rFonts w:ascii="Times" w:hAnsi="Times"/>
              </w:rPr>
              <w:t>Consider doing joint messaging with a gen ed/sped group that went through Joanne’s LbC training and is working on literacy;</w:t>
            </w:r>
            <w:r w:rsidR="00AD42B5">
              <w:rPr>
                <w:rFonts w:ascii="Times" w:hAnsi="Times"/>
              </w:rPr>
              <w:t xml:space="preserve"> and</w:t>
            </w:r>
          </w:p>
          <w:p w14:paraId="59911977" w14:textId="77777777" w:rsidR="0054312C" w:rsidRPr="0054312C" w:rsidRDefault="0054312C" w:rsidP="0054312C">
            <w:pPr>
              <w:pStyle w:val="ListParagraph"/>
              <w:numPr>
                <w:ilvl w:val="0"/>
                <w:numId w:val="14"/>
              </w:numPr>
              <w:rPr>
                <w:rFonts w:ascii="Times" w:hAnsi="Times"/>
                <w:i/>
              </w:rPr>
            </w:pPr>
            <w:r>
              <w:rPr>
                <w:rFonts w:ascii="Times" w:hAnsi="Times"/>
              </w:rPr>
              <w:t>Place a link on the infographic to a page with all the resources.</w:t>
            </w:r>
          </w:p>
          <w:p w14:paraId="4EEF3EBE" w14:textId="4B6D5B64" w:rsidR="0054312C" w:rsidRDefault="00692458" w:rsidP="00A50B47">
            <w:pPr>
              <w:tabs>
                <w:tab w:val="right" w:pos="7220"/>
              </w:tabs>
              <w:rPr>
                <w:u w:val="single"/>
              </w:rPr>
            </w:pPr>
            <w:r w:rsidRPr="00692458">
              <w:rPr>
                <w:u w:val="single"/>
              </w:rPr>
              <w:t>Quick introduction to other SEAC infographics</w:t>
            </w:r>
            <w:r>
              <w:rPr>
                <w:u w:val="single"/>
              </w:rPr>
              <w:t>:  School Health</w:t>
            </w:r>
          </w:p>
          <w:p w14:paraId="2CBDC85B" w14:textId="515F0FAB" w:rsidR="00692458" w:rsidRDefault="00191127" w:rsidP="0054312C">
            <w:r w:rsidRPr="00191127">
              <w:t xml:space="preserve">Amanda </w:t>
            </w:r>
            <w:r>
              <w:t xml:space="preserve">described “How to Obtain Medical Services for Non-Medically Fragile Children in the DOE” </w:t>
            </w:r>
            <w:r w:rsidR="00EF3C37">
              <w:t xml:space="preserve">for her workgroup (Kau‘i, Christina and herself) </w:t>
            </w:r>
            <w:r>
              <w:t xml:space="preserve">as a roadmap and a timeline targeting school administration and parents.  The draft was </w:t>
            </w:r>
            <w:r w:rsidR="00EF3C37">
              <w:t>reviewed by</w:t>
            </w:r>
            <w:r>
              <w:t xml:space="preserve"> public health nurses, parents and administrators </w:t>
            </w:r>
            <w:r w:rsidR="00EF3C37">
              <w:t>prior to its initial pr</w:t>
            </w:r>
            <w:r w:rsidR="002E009D">
              <w:t>esentation to SEAC in September.</w:t>
            </w:r>
            <w:r w:rsidR="00A00915">
              <w:t xml:space="preserve">  J</w:t>
            </w:r>
            <w:r w:rsidR="00A50B47">
              <w:t xml:space="preserve">oanne reinforced the practice of taking information out to a wider group to get feedback prior to a big public display </w:t>
            </w:r>
            <w:r w:rsidR="002E009D">
              <w:t xml:space="preserve">as </w:t>
            </w:r>
            <w:r w:rsidR="00A50B47">
              <w:t>a key LbC strategy.  She suggested having a link to materials, possibly through a QR code.</w:t>
            </w:r>
          </w:p>
          <w:p w14:paraId="40B96B2E" w14:textId="680DB34D" w:rsidR="00A50B47" w:rsidRDefault="00A50B47" w:rsidP="00A50B47">
            <w:pPr>
              <w:tabs>
                <w:tab w:val="right" w:pos="7220"/>
              </w:tabs>
              <w:rPr>
                <w:u w:val="single"/>
              </w:rPr>
            </w:pPr>
            <w:r w:rsidRPr="00692458">
              <w:rPr>
                <w:u w:val="single"/>
              </w:rPr>
              <w:t>Quick introduction to other SEAC infographics</w:t>
            </w:r>
            <w:r>
              <w:rPr>
                <w:u w:val="single"/>
              </w:rPr>
              <w:t>:  Disproportionality</w:t>
            </w:r>
          </w:p>
          <w:p w14:paraId="164A700D" w14:textId="46E8E1DF" w:rsidR="00A50B47" w:rsidRDefault="00A50B47" w:rsidP="0054312C">
            <w:r>
              <w:t>Sage shared his team’s effort</w:t>
            </w:r>
            <w:r w:rsidR="00070D2B">
              <w:t xml:space="preserve"> to develop “Who is in Special Education?”</w:t>
            </w:r>
            <w:r w:rsidR="002577A9">
              <w:t xml:space="preserve"> including a review of disproportionality data, multiple prototypes of how to portray the data and feedback </w:t>
            </w:r>
            <w:r w:rsidR="002E009D">
              <w:t xml:space="preserve">from </w:t>
            </w:r>
            <w:r w:rsidR="002577A9">
              <w:t>outside the group.  They provided a QR code that leads to SEAC’s website, so that people would learn more about SEAC and possibly choose to be involved.</w:t>
            </w:r>
            <w:r w:rsidR="006C50CF">
              <w:t xml:space="preserve"> </w:t>
            </w:r>
            <w:r w:rsidR="002577A9">
              <w:t xml:space="preserve"> Joanne praised their efforts at working collaboratively and reaching out.</w:t>
            </w:r>
          </w:p>
          <w:p w14:paraId="40679B21" w14:textId="61B713A2" w:rsidR="002577A9" w:rsidRDefault="002577A9" w:rsidP="002577A9">
            <w:pPr>
              <w:tabs>
                <w:tab w:val="right" w:pos="7220"/>
              </w:tabs>
              <w:rPr>
                <w:u w:val="single"/>
              </w:rPr>
            </w:pPr>
            <w:r w:rsidRPr="00692458">
              <w:rPr>
                <w:u w:val="single"/>
              </w:rPr>
              <w:t>Quick introduction to other SEAC infographics</w:t>
            </w:r>
            <w:r>
              <w:rPr>
                <w:u w:val="single"/>
              </w:rPr>
              <w:t>:  Inclusion</w:t>
            </w:r>
          </w:p>
          <w:p w14:paraId="1F6BF1D1" w14:textId="109B1ACC" w:rsidR="000579A1" w:rsidRDefault="002577A9" w:rsidP="002E009D">
            <w:pPr>
              <w:tabs>
                <w:tab w:val="right" w:pos="7220"/>
              </w:tabs>
            </w:pPr>
            <w:r w:rsidRPr="002577A9">
              <w:t xml:space="preserve">Martha </w:t>
            </w:r>
            <w:r>
              <w:t xml:space="preserve">pointed to two infographics—one on myth-busting that appeared in the SPIN news—and </w:t>
            </w:r>
            <w:r w:rsidR="002E009D">
              <w:t>“</w:t>
            </w:r>
            <w:r w:rsidR="00070D2B">
              <w:t>Building a Good Inclusion Model”</w:t>
            </w:r>
            <w:r w:rsidR="00FE2C6C">
              <w:t xml:space="preserve"> developed by the SEAC workgroup</w:t>
            </w:r>
            <w:r w:rsidR="00070D2B">
              <w:t xml:space="preserve"> to incorporate the principles of </w:t>
            </w:r>
            <w:r w:rsidR="00070D2B" w:rsidRPr="00070D2B">
              <w:t>HĀ</w:t>
            </w:r>
            <w:r w:rsidR="00070D2B">
              <w:t xml:space="preserve"> (a Native Hawaiian framework</w:t>
            </w:r>
            <w:r w:rsidR="008F63A0">
              <w:t xml:space="preserve"> adopted by DOE to develop desired student skills and behaviors).  Martha thought of using the building model because her husband is a carpenter. She shared that the current draft is still too wordy.</w:t>
            </w:r>
            <w:r w:rsidR="001C410C">
              <w:t xml:space="preserve"> </w:t>
            </w:r>
          </w:p>
        </w:tc>
        <w:tc>
          <w:tcPr>
            <w:tcW w:w="3060" w:type="dxa"/>
            <w:tcBorders>
              <w:top w:val="single" w:sz="6" w:space="0" w:color="auto"/>
              <w:left w:val="single" w:sz="6" w:space="0" w:color="auto"/>
              <w:bottom w:val="single" w:sz="6" w:space="0" w:color="auto"/>
              <w:right w:val="single" w:sz="6" w:space="0" w:color="auto"/>
            </w:tcBorders>
          </w:tcPr>
          <w:p w14:paraId="0B28A609" w14:textId="29BC94BE" w:rsidR="000579A1" w:rsidRDefault="000579A1" w:rsidP="00E25230"/>
        </w:tc>
      </w:tr>
    </w:tbl>
    <w:p w14:paraId="59F2DE08" w14:textId="349C9892" w:rsidR="008C704C" w:rsidRDefault="008C704C" w:rsidP="008C704C">
      <w:r>
        <w:lastRenderedPageBreak/>
        <w:t>SEAC Minutes</w:t>
      </w:r>
    </w:p>
    <w:p w14:paraId="42C1E512" w14:textId="77777777" w:rsidR="003839D0" w:rsidRDefault="003839D0" w:rsidP="003839D0">
      <w:r>
        <w:t>January 11, 2019</w:t>
      </w:r>
    </w:p>
    <w:p w14:paraId="644B6AB2" w14:textId="27A04D2E" w:rsidR="00EC7545" w:rsidRDefault="008C704C">
      <w:r>
        <w:t>Page 5</w:t>
      </w:r>
    </w:p>
    <w:p w14:paraId="3AF2A9C3" w14:textId="77777777" w:rsidR="00075BD8" w:rsidRPr="00075BD8" w:rsidRDefault="00075BD8">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30289A85" w14:textId="77777777" w:rsidTr="00E82CA2">
        <w:trPr>
          <w:trHeight w:val="255"/>
        </w:trPr>
        <w:tc>
          <w:tcPr>
            <w:tcW w:w="2780" w:type="dxa"/>
            <w:tcBorders>
              <w:top w:val="single" w:sz="6" w:space="0" w:color="auto"/>
              <w:left w:val="single" w:sz="6" w:space="0" w:color="auto"/>
              <w:bottom w:val="single" w:sz="6" w:space="0" w:color="auto"/>
              <w:right w:val="single" w:sz="6" w:space="0" w:color="auto"/>
            </w:tcBorders>
          </w:tcPr>
          <w:p w14:paraId="11ACD9CB" w14:textId="422FA39A" w:rsidR="00A03F9C" w:rsidRPr="0000652C" w:rsidRDefault="001342E5" w:rsidP="001C410C">
            <w:pPr>
              <w:rPr>
                <w:b/>
                <w:szCs w:val="24"/>
              </w:rPr>
            </w:pPr>
            <w:r>
              <w:rPr>
                <w:b/>
                <w:szCs w:val="24"/>
              </w:rPr>
              <w:t>Leading by Convening Dialogue (cont.)</w:t>
            </w:r>
          </w:p>
        </w:tc>
        <w:tc>
          <w:tcPr>
            <w:tcW w:w="7380" w:type="dxa"/>
            <w:tcBorders>
              <w:top w:val="single" w:sz="6" w:space="0" w:color="auto"/>
              <w:left w:val="single" w:sz="6" w:space="0" w:color="auto"/>
              <w:bottom w:val="single" w:sz="6" w:space="0" w:color="auto"/>
              <w:right w:val="single" w:sz="6" w:space="0" w:color="auto"/>
            </w:tcBorders>
          </w:tcPr>
          <w:p w14:paraId="63F2D0C7" w14:textId="720B6240" w:rsidR="00AD42B5" w:rsidRDefault="006C50CF" w:rsidP="001C410C">
            <w:r>
              <w:t xml:space="preserve">Joanne noted the advantage of incorporating </w:t>
            </w:r>
            <w:r w:rsidRPr="00070D2B">
              <w:t>HĀ</w:t>
            </w:r>
            <w:r>
              <w:t xml:space="preserve"> which is already known </w:t>
            </w:r>
            <w:r w:rsidR="00AD42B5">
              <w:t>to the district and family networks.</w:t>
            </w:r>
          </w:p>
          <w:p w14:paraId="38A42828" w14:textId="16E6B652" w:rsidR="001342E5" w:rsidRDefault="003B21E8" w:rsidP="001C410C">
            <w:pPr>
              <w:rPr>
                <w:i/>
                <w:u w:val="single"/>
              </w:rPr>
            </w:pPr>
            <w:r w:rsidRPr="003B21E8">
              <w:rPr>
                <w:u w:val="single"/>
              </w:rPr>
              <w:t xml:space="preserve">Further refinement of draft </w:t>
            </w:r>
            <w:r w:rsidRPr="003B21E8">
              <w:rPr>
                <w:i/>
                <w:u w:val="single"/>
              </w:rPr>
              <w:t>Infographic Review Form</w:t>
            </w:r>
          </w:p>
          <w:p w14:paraId="2BED2695" w14:textId="0FB34936" w:rsidR="003B21E8" w:rsidRPr="003B21E8" w:rsidRDefault="003B21E8" w:rsidP="001C410C">
            <w:r>
              <w:t xml:space="preserve">Members examined the 5 main criteria and offered suggestions (in </w:t>
            </w:r>
            <w:r w:rsidRPr="003B21E8">
              <w:rPr>
                <w:i/>
              </w:rPr>
              <w:t>italics</w:t>
            </w:r>
            <w:r>
              <w:t>)</w:t>
            </w:r>
          </w:p>
          <w:p w14:paraId="238C95C4" w14:textId="11CD0A4A" w:rsidR="003742FA" w:rsidRPr="00D34291" w:rsidRDefault="00522E3D" w:rsidP="00D34291">
            <w:pPr>
              <w:pStyle w:val="ListParagraph"/>
              <w:numPr>
                <w:ilvl w:val="0"/>
                <w:numId w:val="15"/>
              </w:numPr>
              <w:rPr>
                <w:rFonts w:ascii="Times" w:hAnsi="Times"/>
              </w:rPr>
            </w:pPr>
            <w:r>
              <w:rPr>
                <w:rFonts w:ascii="Times" w:hAnsi="Times"/>
              </w:rPr>
              <w:t>Has</w:t>
            </w:r>
            <w:r w:rsidR="003B21E8" w:rsidRPr="005D6FE7">
              <w:rPr>
                <w:rFonts w:ascii="Times" w:hAnsi="Times"/>
              </w:rPr>
              <w:t xml:space="preserve"> one central idea</w:t>
            </w:r>
          </w:p>
          <w:p w14:paraId="2139306D" w14:textId="24645369" w:rsidR="003B21E8" w:rsidRDefault="003742FA" w:rsidP="003742FA">
            <w:pPr>
              <w:ind w:left="730"/>
              <w:rPr>
                <w:i/>
              </w:rPr>
            </w:pPr>
            <w:r>
              <w:rPr>
                <w:i/>
              </w:rPr>
              <w:t xml:space="preserve">• </w:t>
            </w:r>
            <w:r w:rsidRPr="003742FA">
              <w:rPr>
                <w:i/>
              </w:rPr>
              <w:t xml:space="preserve">add </w:t>
            </w:r>
            <w:r w:rsidR="00C6335D">
              <w:rPr>
                <w:i/>
              </w:rPr>
              <w:t>the</w:t>
            </w:r>
            <w:r w:rsidRPr="003742FA">
              <w:rPr>
                <w:i/>
              </w:rPr>
              <w:t xml:space="preserve"> message beneath the</w:t>
            </w:r>
            <w:r>
              <w:rPr>
                <w:i/>
              </w:rPr>
              <w:t xml:space="preserve"> central idea (for example, central idea = inclusion and message = all kids belong)</w:t>
            </w:r>
            <w:r w:rsidR="00A8731B">
              <w:rPr>
                <w:i/>
              </w:rPr>
              <w:t>;</w:t>
            </w:r>
          </w:p>
          <w:p w14:paraId="7A853727" w14:textId="1A087BCA" w:rsidR="003742FA" w:rsidRDefault="003742FA" w:rsidP="003742FA">
            <w:pPr>
              <w:ind w:left="730"/>
              <w:rPr>
                <w:i/>
              </w:rPr>
            </w:pPr>
            <w:r>
              <w:rPr>
                <w:i/>
              </w:rPr>
              <w:t xml:space="preserve">• </w:t>
            </w:r>
            <w:r w:rsidR="00A8731B">
              <w:rPr>
                <w:i/>
              </w:rPr>
              <w:t>replace</w:t>
            </w:r>
            <w:r>
              <w:rPr>
                <w:i/>
              </w:rPr>
              <w:t xml:space="preserve"> one central idea</w:t>
            </w:r>
            <w:r w:rsidR="00A8731B">
              <w:rPr>
                <w:i/>
              </w:rPr>
              <w:t xml:space="preserve"> with ‘addresses a single issue’;</w:t>
            </w:r>
          </w:p>
          <w:p w14:paraId="42528F43" w14:textId="416B5CBB" w:rsidR="00A8731B" w:rsidRPr="003742FA" w:rsidRDefault="00A8731B" w:rsidP="003742FA">
            <w:pPr>
              <w:ind w:left="730"/>
            </w:pPr>
            <w:r>
              <w:rPr>
                <w:i/>
              </w:rPr>
              <w:t xml:space="preserve">• </w:t>
            </w:r>
            <w:r w:rsidR="00C6335D">
              <w:rPr>
                <w:i/>
              </w:rPr>
              <w:t>substitute the wording</w:t>
            </w:r>
            <w:r>
              <w:rPr>
                <w:i/>
              </w:rPr>
              <w:t xml:space="preserve"> “impactful</w:t>
            </w:r>
            <w:r w:rsidR="00375F23">
              <w:rPr>
                <w:i/>
              </w:rPr>
              <w:t xml:space="preserve"> single issue</w:t>
            </w:r>
            <w:r>
              <w:rPr>
                <w:i/>
              </w:rPr>
              <w:t>”</w:t>
            </w:r>
            <w:r w:rsidR="00D34291">
              <w:rPr>
                <w:i/>
              </w:rPr>
              <w:t>;</w:t>
            </w:r>
          </w:p>
          <w:p w14:paraId="2A03970C" w14:textId="681AF49A" w:rsidR="003B21E8" w:rsidRPr="005D6FE7" w:rsidRDefault="003B21E8" w:rsidP="003B21E8">
            <w:pPr>
              <w:pStyle w:val="ListParagraph"/>
              <w:numPr>
                <w:ilvl w:val="0"/>
                <w:numId w:val="15"/>
              </w:numPr>
              <w:rPr>
                <w:rFonts w:ascii="Times" w:hAnsi="Times"/>
              </w:rPr>
            </w:pPr>
            <w:r w:rsidRPr="005D6FE7">
              <w:rPr>
                <w:rFonts w:ascii="Times" w:hAnsi="Times"/>
              </w:rPr>
              <w:t>Communicate</w:t>
            </w:r>
            <w:r w:rsidR="00522E3D">
              <w:rPr>
                <w:rFonts w:ascii="Times" w:hAnsi="Times"/>
              </w:rPr>
              <w:t>s</w:t>
            </w:r>
            <w:r w:rsidRPr="005D6FE7">
              <w:rPr>
                <w:rFonts w:ascii="Times" w:hAnsi="Times"/>
              </w:rPr>
              <w:t xml:space="preserve"> </w:t>
            </w:r>
            <w:r w:rsidR="00522E3D">
              <w:rPr>
                <w:rFonts w:ascii="Times" w:hAnsi="Times"/>
              </w:rPr>
              <w:t>information and</w:t>
            </w:r>
            <w:r w:rsidRPr="005D6FE7">
              <w:rPr>
                <w:rFonts w:ascii="Times" w:hAnsi="Times"/>
              </w:rPr>
              <w:t xml:space="preserve"> data clearly</w:t>
            </w:r>
            <w:r>
              <w:rPr>
                <w:rFonts w:ascii="Times" w:hAnsi="Times"/>
              </w:rPr>
              <w:t xml:space="preserve"> - </w:t>
            </w:r>
          </w:p>
          <w:p w14:paraId="66C67758" w14:textId="6F1B122D" w:rsidR="003B21E8" w:rsidRDefault="00C6335D" w:rsidP="003B21E8">
            <w:pPr>
              <w:pStyle w:val="ListParagraph"/>
              <w:numPr>
                <w:ilvl w:val="0"/>
                <w:numId w:val="15"/>
              </w:numPr>
              <w:rPr>
                <w:rFonts w:ascii="Times" w:hAnsi="Times"/>
              </w:rPr>
            </w:pPr>
            <w:r>
              <w:rPr>
                <w:rFonts w:ascii="Times" w:hAnsi="Times"/>
              </w:rPr>
              <w:t xml:space="preserve">(Layers) </w:t>
            </w:r>
            <w:r w:rsidR="00D34291">
              <w:rPr>
                <w:rFonts w:ascii="Times" w:hAnsi="Times"/>
              </w:rPr>
              <w:t xml:space="preserve">Has a critical message </w:t>
            </w:r>
            <w:r w:rsidR="00D34291" w:rsidRPr="00522E3D">
              <w:rPr>
                <w:rFonts w:ascii="Times" w:hAnsi="Times"/>
                <w:u w:val="single"/>
              </w:rPr>
              <w:t>and</w:t>
            </w:r>
            <w:r w:rsidR="00D34291">
              <w:rPr>
                <w:rFonts w:ascii="Times" w:hAnsi="Times"/>
              </w:rPr>
              <w:t xml:space="preserve"> other interesting information that supports the critical message</w:t>
            </w:r>
            <w:r w:rsidR="00A8731B">
              <w:rPr>
                <w:rFonts w:ascii="Times" w:hAnsi="Times"/>
              </w:rPr>
              <w:t xml:space="preserve"> </w:t>
            </w:r>
            <w:r w:rsidR="00D34291">
              <w:rPr>
                <w:rFonts w:ascii="Times" w:hAnsi="Times"/>
              </w:rPr>
              <w:t>–</w:t>
            </w:r>
            <w:r w:rsidR="00A8731B">
              <w:rPr>
                <w:rFonts w:ascii="Times" w:hAnsi="Times"/>
              </w:rPr>
              <w:t xml:space="preserve"> </w:t>
            </w:r>
          </w:p>
          <w:p w14:paraId="1D3463D2" w14:textId="62B1C9AC" w:rsidR="00D34291" w:rsidRPr="00D34291" w:rsidRDefault="00D34291" w:rsidP="00D34291">
            <w:pPr>
              <w:ind w:left="730"/>
            </w:pPr>
            <w:r>
              <w:rPr>
                <w:i/>
              </w:rPr>
              <w:t xml:space="preserve">• </w:t>
            </w:r>
            <w:r w:rsidRPr="00D34291">
              <w:rPr>
                <w:i/>
              </w:rPr>
              <w:t>explain the difference between one central idea</w:t>
            </w:r>
            <w:r>
              <w:rPr>
                <w:i/>
              </w:rPr>
              <w:t>, critical message</w:t>
            </w:r>
            <w:r w:rsidRPr="00D34291">
              <w:rPr>
                <w:i/>
              </w:rPr>
              <w:t xml:space="preserve"> and other interesting information;</w:t>
            </w:r>
          </w:p>
          <w:p w14:paraId="66DD5434" w14:textId="7E8FBD94" w:rsidR="003B21E8" w:rsidRDefault="00522E3D" w:rsidP="003B21E8">
            <w:pPr>
              <w:pStyle w:val="ListParagraph"/>
              <w:numPr>
                <w:ilvl w:val="0"/>
                <w:numId w:val="15"/>
              </w:numPr>
              <w:rPr>
                <w:rFonts w:ascii="Times" w:hAnsi="Times"/>
              </w:rPr>
            </w:pPr>
            <w:r>
              <w:rPr>
                <w:rFonts w:ascii="Times" w:hAnsi="Times"/>
              </w:rPr>
              <w:t>Is</w:t>
            </w:r>
            <w:r w:rsidR="003B21E8" w:rsidRPr="005D6FE7">
              <w:rPr>
                <w:rFonts w:ascii="Times" w:hAnsi="Times"/>
              </w:rPr>
              <w:t xml:space="preserve"> easy to navigate</w:t>
            </w:r>
            <w:r w:rsidR="00A8731B">
              <w:rPr>
                <w:rFonts w:ascii="Times" w:hAnsi="Times"/>
              </w:rPr>
              <w:t xml:space="preserve"> </w:t>
            </w:r>
            <w:r>
              <w:rPr>
                <w:rFonts w:ascii="Times" w:hAnsi="Times"/>
              </w:rPr>
              <w:t>–</w:t>
            </w:r>
            <w:r w:rsidR="00A8731B">
              <w:rPr>
                <w:rFonts w:ascii="Times" w:hAnsi="Times"/>
              </w:rPr>
              <w:t xml:space="preserve"> </w:t>
            </w:r>
          </w:p>
          <w:p w14:paraId="6D26B8F8" w14:textId="6B68D671" w:rsidR="00522E3D" w:rsidRPr="005D6FE7" w:rsidRDefault="00522E3D" w:rsidP="003B21E8">
            <w:pPr>
              <w:pStyle w:val="ListParagraph"/>
              <w:numPr>
                <w:ilvl w:val="0"/>
                <w:numId w:val="15"/>
              </w:numPr>
              <w:rPr>
                <w:rFonts w:ascii="Times" w:hAnsi="Times"/>
              </w:rPr>
            </w:pPr>
            <w:r>
              <w:rPr>
                <w:rFonts w:ascii="Times" w:hAnsi="Times"/>
              </w:rPr>
              <w:t>Is free of errors -</w:t>
            </w:r>
          </w:p>
          <w:p w14:paraId="53F44055" w14:textId="64DB900E" w:rsidR="003B21E8" w:rsidRPr="00522E3D" w:rsidRDefault="00522E3D" w:rsidP="00522E3D">
            <w:pPr>
              <w:pStyle w:val="ListParagraph"/>
              <w:numPr>
                <w:ilvl w:val="0"/>
                <w:numId w:val="15"/>
              </w:numPr>
              <w:rPr>
                <w:rFonts w:ascii="Times" w:hAnsi="Times"/>
              </w:rPr>
            </w:pPr>
            <w:r>
              <w:rPr>
                <w:rFonts w:ascii="Times" w:hAnsi="Times"/>
                <w:i/>
              </w:rPr>
              <w:t>A</w:t>
            </w:r>
            <w:r w:rsidR="00D34291" w:rsidRPr="00D34291">
              <w:rPr>
                <w:rFonts w:ascii="Times" w:hAnsi="Times"/>
                <w:i/>
              </w:rPr>
              <w:t>esthetically pleasing</w:t>
            </w:r>
            <w:r w:rsidR="00D34291">
              <w:rPr>
                <w:rFonts w:ascii="Times" w:hAnsi="Times"/>
                <w:i/>
              </w:rPr>
              <w:t>; eye-catching</w:t>
            </w:r>
            <w:r w:rsidR="00D34291" w:rsidRPr="00D34291">
              <w:rPr>
                <w:rFonts w:ascii="Times" w:hAnsi="Times"/>
                <w:i/>
              </w:rPr>
              <w:t xml:space="preserve"> </w:t>
            </w:r>
          </w:p>
          <w:p w14:paraId="6D4634E3" w14:textId="39D0DC96" w:rsidR="003742FA" w:rsidRPr="00522E3D" w:rsidRDefault="003742FA" w:rsidP="003B21E8">
            <w:pPr>
              <w:pStyle w:val="ListParagraph"/>
              <w:numPr>
                <w:ilvl w:val="0"/>
                <w:numId w:val="15"/>
              </w:numPr>
              <w:rPr>
                <w:rFonts w:ascii="Times" w:hAnsi="Times"/>
              </w:rPr>
            </w:pPr>
            <w:r w:rsidRPr="00522E3D">
              <w:rPr>
                <w:rFonts w:ascii="Times" w:hAnsi="Times"/>
                <w:i/>
              </w:rPr>
              <w:t>Accessible/508 compliant</w:t>
            </w:r>
            <w:r w:rsidR="00375F23">
              <w:rPr>
                <w:rFonts w:ascii="Times" w:hAnsi="Times"/>
                <w:i/>
              </w:rPr>
              <w:t xml:space="preserve"> – easily read by screen reader</w:t>
            </w:r>
          </w:p>
          <w:p w14:paraId="536D7074" w14:textId="2880011C" w:rsidR="00A8731B" w:rsidRPr="00375F23" w:rsidRDefault="00A8731B" w:rsidP="003B21E8">
            <w:pPr>
              <w:pStyle w:val="ListParagraph"/>
              <w:numPr>
                <w:ilvl w:val="0"/>
                <w:numId w:val="15"/>
              </w:numPr>
              <w:rPr>
                <w:rFonts w:ascii="Times" w:hAnsi="Times"/>
              </w:rPr>
            </w:pPr>
            <w:r w:rsidRPr="00522E3D">
              <w:rPr>
                <w:rFonts w:ascii="Times" w:hAnsi="Times"/>
                <w:i/>
              </w:rPr>
              <w:t>Leads to action</w:t>
            </w:r>
          </w:p>
          <w:p w14:paraId="7197291A" w14:textId="4F10B7EA" w:rsidR="00375F23" w:rsidRPr="00522E3D" w:rsidRDefault="00375F23" w:rsidP="003B21E8">
            <w:pPr>
              <w:pStyle w:val="ListParagraph"/>
              <w:numPr>
                <w:ilvl w:val="0"/>
                <w:numId w:val="15"/>
              </w:numPr>
              <w:rPr>
                <w:rFonts w:ascii="Times" w:hAnsi="Times"/>
              </w:rPr>
            </w:pPr>
            <w:r>
              <w:rPr>
                <w:rFonts w:ascii="Times" w:hAnsi="Times"/>
                <w:i/>
              </w:rPr>
              <w:t>Target audience</w:t>
            </w:r>
          </w:p>
          <w:p w14:paraId="018688C2" w14:textId="39C524F1" w:rsidR="003B21E8" w:rsidRDefault="006C50CF" w:rsidP="001C410C">
            <w:pPr>
              <w:rPr>
                <w:u w:val="single"/>
              </w:rPr>
            </w:pPr>
            <w:r w:rsidRPr="006C50CF">
              <w:rPr>
                <w:u w:val="single"/>
              </w:rPr>
              <w:t>Additional vetting of Significant Disproportionality infographic</w:t>
            </w:r>
          </w:p>
          <w:p w14:paraId="2659D8A3" w14:textId="77777777" w:rsidR="00B55BD9" w:rsidRDefault="006C50CF" w:rsidP="00B55BD9">
            <w:r>
              <w:t>Sage asked for more feedback on the group’</w:t>
            </w:r>
            <w:r w:rsidR="00B55BD9">
              <w:t>s draft.</w:t>
            </w:r>
          </w:p>
          <w:p w14:paraId="7586E523" w14:textId="77777777" w:rsidR="00B55BD9" w:rsidRDefault="00B55BD9" w:rsidP="00B55BD9">
            <w:r>
              <w:rPr>
                <w:i/>
              </w:rPr>
              <w:t>Feedback</w:t>
            </w:r>
            <w:r w:rsidRPr="00A90A50">
              <w:rPr>
                <w:i/>
              </w:rPr>
              <w:t>:</w:t>
            </w:r>
            <w:r>
              <w:rPr>
                <w:i/>
              </w:rPr>
              <w:t xml:space="preserve">  </w:t>
            </w:r>
            <w:r w:rsidRPr="00A90A50">
              <w:t>Comments included</w:t>
            </w:r>
            <w:r>
              <w:t xml:space="preserve"> the following:</w:t>
            </w:r>
          </w:p>
          <w:p w14:paraId="53116B45" w14:textId="0CC5C6E0" w:rsidR="00B55BD9" w:rsidRDefault="00B55BD9" w:rsidP="00B55BD9">
            <w:pPr>
              <w:pStyle w:val="ListParagraph"/>
              <w:numPr>
                <w:ilvl w:val="0"/>
                <w:numId w:val="17"/>
              </w:numPr>
              <w:rPr>
                <w:rFonts w:ascii="Times" w:hAnsi="Times"/>
              </w:rPr>
            </w:pPr>
            <w:r w:rsidRPr="00B55BD9">
              <w:rPr>
                <w:rFonts w:ascii="Times" w:hAnsi="Times"/>
              </w:rPr>
              <w:t xml:space="preserve">Explain the term </w:t>
            </w:r>
            <w:r w:rsidR="007C7C2F">
              <w:rPr>
                <w:rFonts w:ascii="Times" w:hAnsi="Times"/>
              </w:rPr>
              <w:t>disproportionality.</w:t>
            </w:r>
          </w:p>
          <w:p w14:paraId="2AF15ED0" w14:textId="4CD1BF77" w:rsidR="00B55BD9" w:rsidRDefault="007C7C2F" w:rsidP="00B55BD9">
            <w:pPr>
              <w:pStyle w:val="ListParagraph"/>
              <w:numPr>
                <w:ilvl w:val="0"/>
                <w:numId w:val="17"/>
              </w:numPr>
              <w:rPr>
                <w:rFonts w:ascii="Times" w:hAnsi="Times"/>
              </w:rPr>
            </w:pPr>
            <w:r>
              <w:rPr>
                <w:rFonts w:ascii="Times" w:hAnsi="Times"/>
              </w:rPr>
              <w:t>Consider changing the title from “Who is in Special Education?” to “Are the right kids in special education?” Reflect that when kids are over</w:t>
            </w:r>
            <w:r w:rsidR="00DF015C">
              <w:rPr>
                <w:rFonts w:ascii="Times" w:hAnsi="Times"/>
              </w:rPr>
              <w:t>-</w:t>
            </w:r>
            <w:r>
              <w:rPr>
                <w:rFonts w:ascii="Times" w:hAnsi="Times"/>
              </w:rPr>
              <w:t>identified, we call it disproportionality.</w:t>
            </w:r>
          </w:p>
          <w:p w14:paraId="0954CFC1" w14:textId="77777777" w:rsidR="00E82CA2" w:rsidRDefault="007C7C2F" w:rsidP="00B55BD9">
            <w:pPr>
              <w:pStyle w:val="ListParagraph"/>
              <w:numPr>
                <w:ilvl w:val="0"/>
                <w:numId w:val="17"/>
              </w:numPr>
              <w:rPr>
                <w:rFonts w:ascii="Times" w:hAnsi="Times"/>
              </w:rPr>
            </w:pPr>
            <w:r>
              <w:rPr>
                <w:rFonts w:ascii="Times" w:hAnsi="Times"/>
              </w:rPr>
              <w:t xml:space="preserve">If we are assessing kids who are disadvantaged and come from poorly performing schools, are they really having access to general education?  </w:t>
            </w:r>
          </w:p>
          <w:p w14:paraId="583FEE91" w14:textId="15B2D284" w:rsidR="007C7C2F" w:rsidRDefault="007C7C2F" w:rsidP="00B55BD9">
            <w:pPr>
              <w:pStyle w:val="ListParagraph"/>
              <w:numPr>
                <w:ilvl w:val="0"/>
                <w:numId w:val="17"/>
              </w:numPr>
              <w:rPr>
                <w:rFonts w:ascii="Times" w:hAnsi="Times"/>
              </w:rPr>
            </w:pPr>
            <w:r>
              <w:rPr>
                <w:rFonts w:ascii="Times" w:hAnsi="Times"/>
              </w:rPr>
              <w:t>What’s so bad about special education?</w:t>
            </w:r>
          </w:p>
          <w:p w14:paraId="2758705E" w14:textId="1E834880" w:rsidR="0058596B" w:rsidRPr="006809ED" w:rsidRDefault="00707306" w:rsidP="006809ED">
            <w:pPr>
              <w:pStyle w:val="ListParagraph"/>
              <w:numPr>
                <w:ilvl w:val="0"/>
                <w:numId w:val="17"/>
              </w:numPr>
              <w:rPr>
                <w:rFonts w:ascii="Times" w:hAnsi="Times"/>
              </w:rPr>
            </w:pPr>
            <w:r>
              <w:rPr>
                <w:rFonts w:ascii="Times" w:hAnsi="Times"/>
              </w:rPr>
              <w:t>Special education can isolate children.</w:t>
            </w:r>
          </w:p>
        </w:tc>
        <w:tc>
          <w:tcPr>
            <w:tcW w:w="3060" w:type="dxa"/>
            <w:tcBorders>
              <w:top w:val="single" w:sz="6" w:space="0" w:color="auto"/>
              <w:left w:val="single" w:sz="6" w:space="0" w:color="auto"/>
              <w:bottom w:val="single" w:sz="6" w:space="0" w:color="auto"/>
              <w:right w:val="single" w:sz="6" w:space="0" w:color="auto"/>
            </w:tcBorders>
          </w:tcPr>
          <w:p w14:paraId="4287DC82" w14:textId="77777777" w:rsidR="007425FD" w:rsidRDefault="007425FD" w:rsidP="003B21E8"/>
          <w:p w14:paraId="71233E84" w14:textId="77777777" w:rsidR="007425FD" w:rsidRDefault="007425FD" w:rsidP="003B21E8"/>
          <w:p w14:paraId="06DB8FCF" w14:textId="4FEE950F" w:rsidR="00A03F9C" w:rsidRDefault="003B21E8" w:rsidP="003B21E8">
            <w:r>
              <w:t>An edited form is attached to the minutes.</w:t>
            </w:r>
          </w:p>
        </w:tc>
      </w:tr>
    </w:tbl>
    <w:p w14:paraId="4DE0C588" w14:textId="77777777" w:rsidR="006809ED" w:rsidRDefault="006809ED" w:rsidP="009B1E69"/>
    <w:p w14:paraId="6591E7E9" w14:textId="77777777" w:rsidR="009B1E69" w:rsidRDefault="009B1E69" w:rsidP="009B1E69">
      <w:r>
        <w:lastRenderedPageBreak/>
        <w:t>SEAC Minutes</w:t>
      </w:r>
    </w:p>
    <w:p w14:paraId="237DB18B" w14:textId="77777777" w:rsidR="003839D0" w:rsidRDefault="003839D0" w:rsidP="003839D0">
      <w:r>
        <w:t>January 11, 2019</w:t>
      </w:r>
    </w:p>
    <w:p w14:paraId="637FB026" w14:textId="0E42442A" w:rsidR="009B1E69" w:rsidRDefault="009B1E69" w:rsidP="009B1E69">
      <w:r>
        <w:t>Page 6</w:t>
      </w:r>
    </w:p>
    <w:p w14:paraId="34957D25"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82CA2" w14:paraId="1C02204D" w14:textId="77777777" w:rsidTr="00E82CA2">
        <w:tc>
          <w:tcPr>
            <w:tcW w:w="2780" w:type="dxa"/>
            <w:tcBorders>
              <w:top w:val="single" w:sz="6" w:space="0" w:color="auto"/>
              <w:left w:val="single" w:sz="6" w:space="0" w:color="auto"/>
              <w:bottom w:val="single" w:sz="6" w:space="0" w:color="auto"/>
              <w:right w:val="single" w:sz="6" w:space="0" w:color="auto"/>
            </w:tcBorders>
          </w:tcPr>
          <w:p w14:paraId="6B9D7636" w14:textId="796AA547" w:rsidR="00E82CA2" w:rsidRDefault="00E82CA2" w:rsidP="00F34017">
            <w:pPr>
              <w:rPr>
                <w:b/>
                <w:szCs w:val="24"/>
              </w:rPr>
            </w:pPr>
            <w:r>
              <w:rPr>
                <w:b/>
                <w:szCs w:val="24"/>
              </w:rPr>
              <w:t>Leading by Convening Dialogue (cont.)</w:t>
            </w:r>
          </w:p>
        </w:tc>
        <w:tc>
          <w:tcPr>
            <w:tcW w:w="7380" w:type="dxa"/>
            <w:tcBorders>
              <w:top w:val="single" w:sz="6" w:space="0" w:color="auto"/>
              <w:left w:val="single" w:sz="6" w:space="0" w:color="auto"/>
              <w:bottom w:val="single" w:sz="6" w:space="0" w:color="auto"/>
              <w:right w:val="single" w:sz="6" w:space="0" w:color="auto"/>
            </w:tcBorders>
          </w:tcPr>
          <w:p w14:paraId="59517C50" w14:textId="261AFE7A" w:rsidR="00E82CA2" w:rsidRDefault="00E82CA2" w:rsidP="00E82CA2">
            <w:pPr>
              <w:rPr>
                <w:u w:val="single"/>
              </w:rPr>
            </w:pPr>
            <w:r w:rsidRPr="006C50CF">
              <w:rPr>
                <w:u w:val="single"/>
              </w:rPr>
              <w:t>Additional vetting of Significant Disproportionality infographic</w:t>
            </w:r>
            <w:r>
              <w:rPr>
                <w:u w:val="single"/>
              </w:rPr>
              <w:t xml:space="preserve"> (cont.)</w:t>
            </w:r>
          </w:p>
          <w:p w14:paraId="1CF89575" w14:textId="25AB081B" w:rsidR="00E82CA2" w:rsidRDefault="006809ED" w:rsidP="00E82CA2">
            <w:pPr>
              <w:pStyle w:val="ListParagraph"/>
              <w:numPr>
                <w:ilvl w:val="0"/>
                <w:numId w:val="18"/>
              </w:numPr>
              <w:rPr>
                <w:rFonts w:ascii="Times" w:hAnsi="Times"/>
              </w:rPr>
            </w:pPr>
            <w:r>
              <w:rPr>
                <w:rFonts w:ascii="Times" w:hAnsi="Times"/>
              </w:rPr>
              <w:t xml:space="preserve">The critical message is about how culturally responsive is the </w:t>
            </w:r>
            <w:r w:rsidR="00DF015C">
              <w:rPr>
                <w:rFonts w:ascii="Times" w:hAnsi="Times"/>
              </w:rPr>
              <w:t xml:space="preserve">process for the Native Hawaiian population.  </w:t>
            </w:r>
            <w:r w:rsidR="00E82CA2" w:rsidRPr="00B46B64">
              <w:rPr>
                <w:rFonts w:ascii="Times" w:hAnsi="Times"/>
              </w:rPr>
              <w:t xml:space="preserve">The important thing is to make parents aware of </w:t>
            </w:r>
            <w:r w:rsidR="00B46B64">
              <w:rPr>
                <w:rFonts w:ascii="Times" w:hAnsi="Times"/>
              </w:rPr>
              <w:t>possible over</w:t>
            </w:r>
            <w:r w:rsidR="00542BD0">
              <w:rPr>
                <w:rFonts w:ascii="Times" w:hAnsi="Times"/>
              </w:rPr>
              <w:t>-</w:t>
            </w:r>
            <w:r w:rsidR="00B46B64">
              <w:rPr>
                <w:rFonts w:ascii="Times" w:hAnsi="Times"/>
              </w:rPr>
              <w:t>identification or culturally inappropriate practices, so that they can do something about it.</w:t>
            </w:r>
          </w:p>
          <w:p w14:paraId="0E2E7793" w14:textId="77777777" w:rsidR="00B46B64" w:rsidRDefault="00B46B64" w:rsidP="00E82CA2">
            <w:pPr>
              <w:pStyle w:val="ListParagraph"/>
              <w:numPr>
                <w:ilvl w:val="0"/>
                <w:numId w:val="18"/>
              </w:numPr>
              <w:rPr>
                <w:rFonts w:ascii="Times" w:hAnsi="Times"/>
              </w:rPr>
            </w:pPr>
            <w:r>
              <w:rPr>
                <w:rFonts w:ascii="Times" w:hAnsi="Times"/>
              </w:rPr>
              <w:t xml:space="preserve">Use the term </w:t>
            </w:r>
            <w:r w:rsidRPr="007425FD">
              <w:rPr>
                <w:rFonts w:ascii="Times" w:hAnsi="Times"/>
                <w:i/>
              </w:rPr>
              <w:t>disparity</w:t>
            </w:r>
            <w:r>
              <w:rPr>
                <w:rFonts w:ascii="Times" w:hAnsi="Times"/>
              </w:rPr>
              <w:t>.</w:t>
            </w:r>
          </w:p>
          <w:p w14:paraId="57207186" w14:textId="7C0692B8" w:rsidR="00B46B64" w:rsidRDefault="00B46B64" w:rsidP="00E82CA2">
            <w:pPr>
              <w:pStyle w:val="ListParagraph"/>
              <w:numPr>
                <w:ilvl w:val="0"/>
                <w:numId w:val="18"/>
              </w:numPr>
              <w:rPr>
                <w:rFonts w:ascii="Times" w:hAnsi="Times"/>
              </w:rPr>
            </w:pPr>
            <w:r>
              <w:rPr>
                <w:rFonts w:ascii="Times" w:hAnsi="Times"/>
              </w:rPr>
              <w:t>It’s better to use OSEP terminology or common language.</w:t>
            </w:r>
          </w:p>
          <w:p w14:paraId="04A736AB" w14:textId="420DCFC3" w:rsidR="00707306" w:rsidRDefault="00707306" w:rsidP="00E82CA2">
            <w:pPr>
              <w:pStyle w:val="ListParagraph"/>
              <w:numPr>
                <w:ilvl w:val="0"/>
                <w:numId w:val="18"/>
              </w:numPr>
              <w:rPr>
                <w:rFonts w:ascii="Times" w:hAnsi="Times"/>
              </w:rPr>
            </w:pPr>
            <w:r>
              <w:rPr>
                <w:rFonts w:ascii="Times" w:hAnsi="Times"/>
              </w:rPr>
              <w:t xml:space="preserve">If you link the infographic to SEAC, </w:t>
            </w:r>
            <w:r w:rsidR="00DF015C">
              <w:rPr>
                <w:rFonts w:ascii="Times" w:hAnsi="Times"/>
              </w:rPr>
              <w:t xml:space="preserve">link </w:t>
            </w:r>
            <w:r>
              <w:rPr>
                <w:rFonts w:ascii="Times" w:hAnsi="Times"/>
              </w:rPr>
              <w:t>direct</w:t>
            </w:r>
            <w:r w:rsidR="00DF015C">
              <w:rPr>
                <w:rFonts w:ascii="Times" w:hAnsi="Times"/>
              </w:rPr>
              <w:t>ly</w:t>
            </w:r>
            <w:r>
              <w:rPr>
                <w:rFonts w:ascii="Times" w:hAnsi="Times"/>
              </w:rPr>
              <w:t xml:space="preserve"> to prepared text about disproportionality.</w:t>
            </w:r>
          </w:p>
          <w:p w14:paraId="2DEA8AEB" w14:textId="4171235B" w:rsidR="00BD65BF" w:rsidRDefault="00BD65BF" w:rsidP="00E82CA2">
            <w:pPr>
              <w:pStyle w:val="ListParagraph"/>
              <w:numPr>
                <w:ilvl w:val="0"/>
                <w:numId w:val="18"/>
              </w:numPr>
              <w:rPr>
                <w:rFonts w:ascii="Times" w:hAnsi="Times"/>
              </w:rPr>
            </w:pPr>
            <w:r>
              <w:rPr>
                <w:rFonts w:ascii="Times" w:hAnsi="Times"/>
              </w:rPr>
              <w:t>Using percentages of ethnic groups in special education is not meaningful, if you don’t know how many students make up each ethnic group’s total population.</w:t>
            </w:r>
          </w:p>
          <w:p w14:paraId="11A31BBD" w14:textId="7ABC7BC9" w:rsidR="00D763E3" w:rsidRDefault="00D763E3" w:rsidP="00E82CA2">
            <w:pPr>
              <w:pStyle w:val="ListParagraph"/>
              <w:numPr>
                <w:ilvl w:val="0"/>
                <w:numId w:val="18"/>
              </w:numPr>
              <w:rPr>
                <w:rFonts w:ascii="Times" w:hAnsi="Times"/>
              </w:rPr>
            </w:pPr>
            <w:r>
              <w:rPr>
                <w:rFonts w:ascii="Times" w:hAnsi="Times"/>
              </w:rPr>
              <w:t>One of our alternate graphs (the circle) shows numbers of students.</w:t>
            </w:r>
          </w:p>
          <w:p w14:paraId="554F2DCD" w14:textId="08065C78" w:rsidR="00707306" w:rsidRDefault="00707306" w:rsidP="00E82CA2">
            <w:pPr>
              <w:pStyle w:val="ListParagraph"/>
              <w:numPr>
                <w:ilvl w:val="0"/>
                <w:numId w:val="18"/>
              </w:numPr>
              <w:rPr>
                <w:rFonts w:ascii="Times" w:hAnsi="Times"/>
              </w:rPr>
            </w:pPr>
            <w:r>
              <w:rPr>
                <w:rFonts w:ascii="Times" w:hAnsi="Times"/>
              </w:rPr>
              <w:t xml:space="preserve">Disproportionality may not always be viewed negatively.  A Tongan parent, or another parent from an ethnic group </w:t>
            </w:r>
            <w:r w:rsidRPr="00707306">
              <w:rPr>
                <w:rFonts w:ascii="Times" w:hAnsi="Times"/>
                <w:u w:val="single"/>
              </w:rPr>
              <w:t>not</w:t>
            </w:r>
            <w:r>
              <w:rPr>
                <w:rFonts w:ascii="Times" w:hAnsi="Times"/>
              </w:rPr>
              <w:t xml:space="preserve"> reflecting disproportionality, might be jealous of the extra support provided to Native Hawaiian students.</w:t>
            </w:r>
          </w:p>
          <w:p w14:paraId="2C662212" w14:textId="378F5857" w:rsidR="00BD65BF" w:rsidRDefault="00BD65BF" w:rsidP="00E82CA2">
            <w:pPr>
              <w:pStyle w:val="ListParagraph"/>
              <w:numPr>
                <w:ilvl w:val="0"/>
                <w:numId w:val="18"/>
              </w:numPr>
              <w:rPr>
                <w:rFonts w:ascii="Times" w:hAnsi="Times"/>
              </w:rPr>
            </w:pPr>
            <w:r>
              <w:rPr>
                <w:rFonts w:ascii="Times" w:hAnsi="Times"/>
              </w:rPr>
              <w:t xml:space="preserve">As </w:t>
            </w:r>
            <w:r w:rsidR="00DF015C">
              <w:rPr>
                <w:rFonts w:ascii="Times" w:hAnsi="Times"/>
              </w:rPr>
              <w:t>a</w:t>
            </w:r>
            <w:r>
              <w:rPr>
                <w:rFonts w:ascii="Times" w:hAnsi="Times"/>
              </w:rPr>
              <w:t xml:space="preserve"> parent, I struggle to know what I can personally do about disproportionality, and I wonder</w:t>
            </w:r>
            <w:r w:rsidR="00D763E3">
              <w:rPr>
                <w:rFonts w:ascii="Times" w:hAnsi="Times"/>
              </w:rPr>
              <w:t xml:space="preserve"> what the Department is doing.  They collect the data.  Do they understand Hawaiian culture?</w:t>
            </w:r>
          </w:p>
          <w:p w14:paraId="2F989CF3" w14:textId="77777777" w:rsidR="00581520" w:rsidRPr="00581520" w:rsidRDefault="00581520" w:rsidP="00581520">
            <w:pPr>
              <w:rPr>
                <w:u w:val="single"/>
              </w:rPr>
            </w:pPr>
            <w:r w:rsidRPr="00581520">
              <w:rPr>
                <w:u w:val="single"/>
              </w:rPr>
              <w:t>Final comments on the vetting process</w:t>
            </w:r>
          </w:p>
          <w:p w14:paraId="439923C1" w14:textId="53733A1E" w:rsidR="00581520" w:rsidRPr="00581520" w:rsidRDefault="00581520" w:rsidP="00581520">
            <w:r>
              <w:t xml:space="preserve">When it comes to vetting and approval of infographics, Joanne advised the group to be sure we have reached out to all members, including those who are absent.  </w:t>
            </w:r>
            <w:r w:rsidR="00615BDA">
              <w:t>Use the review form for the first review.  Further review outside the council is dependent on SEAC’s comfort level in approving a final product.</w:t>
            </w:r>
          </w:p>
          <w:p w14:paraId="5CA78920" w14:textId="77777777" w:rsidR="00E82CA2" w:rsidRDefault="00D0106F" w:rsidP="00F34017">
            <w:pPr>
              <w:rPr>
                <w:u w:val="single"/>
              </w:rPr>
            </w:pPr>
            <w:r w:rsidRPr="00D0106F">
              <w:rPr>
                <w:u w:val="single"/>
              </w:rPr>
              <w:t>Dialogue Guides</w:t>
            </w:r>
          </w:p>
          <w:p w14:paraId="12CCD527" w14:textId="447BCF60" w:rsidR="00D0106F" w:rsidRPr="00F62145" w:rsidRDefault="00F62145" w:rsidP="006F167B">
            <w:r>
              <w:t>Putting dialogue guides together for each infographic, or a series of related infographics, creates a package to learn together.  If the Department is a partner, and you take the information to the community and receive feedback, then you are closing the loop between what you know and what people who can influence the system need to know.</w:t>
            </w:r>
            <w:r w:rsidR="006F167B">
              <w:t xml:space="preserve">  A dialogue is </w:t>
            </w:r>
          </w:p>
        </w:tc>
        <w:tc>
          <w:tcPr>
            <w:tcW w:w="3060" w:type="dxa"/>
            <w:tcBorders>
              <w:top w:val="single" w:sz="6" w:space="0" w:color="auto"/>
              <w:left w:val="single" w:sz="6" w:space="0" w:color="auto"/>
              <w:bottom w:val="single" w:sz="6" w:space="0" w:color="auto"/>
              <w:right w:val="single" w:sz="6" w:space="0" w:color="auto"/>
            </w:tcBorders>
          </w:tcPr>
          <w:p w14:paraId="571A036C" w14:textId="625A2DF1" w:rsidR="00E82CA2" w:rsidRDefault="007F0AE6" w:rsidP="00F34017">
            <w:r>
              <w:t xml:space="preserve">Cesar D’Agord </w:t>
            </w:r>
            <w:r w:rsidR="002055C4">
              <w:t>wants to be a consultant to SEAC’s disproportionality workgroup and offer additional materials.  Joanne Cashman also volunteered to assist any of the groups.</w:t>
            </w:r>
          </w:p>
        </w:tc>
      </w:tr>
    </w:tbl>
    <w:p w14:paraId="78322B52" w14:textId="77777777" w:rsidR="00615BDA" w:rsidRDefault="00615BDA" w:rsidP="00615BDA">
      <w:r>
        <w:lastRenderedPageBreak/>
        <w:t>SEAC Minutes</w:t>
      </w:r>
    </w:p>
    <w:p w14:paraId="37B4DAD5" w14:textId="77777777" w:rsidR="00615BDA" w:rsidRDefault="00615BDA" w:rsidP="00615BDA">
      <w:r>
        <w:t>January 11, 2019</w:t>
      </w:r>
    </w:p>
    <w:p w14:paraId="303BE28A" w14:textId="214BD606" w:rsidR="00615BDA" w:rsidRDefault="00615BDA" w:rsidP="00615BDA">
      <w:r>
        <w:t>Page 7</w:t>
      </w:r>
    </w:p>
    <w:p w14:paraId="1DBF61E7" w14:textId="521B9B5B" w:rsidR="00615BDA" w:rsidRDefault="00615BD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615BDA" w14:paraId="35428F0C" w14:textId="77777777" w:rsidTr="00E82CA2">
        <w:tc>
          <w:tcPr>
            <w:tcW w:w="2780" w:type="dxa"/>
            <w:tcBorders>
              <w:top w:val="single" w:sz="6" w:space="0" w:color="auto"/>
              <w:left w:val="single" w:sz="6" w:space="0" w:color="auto"/>
              <w:bottom w:val="single" w:sz="6" w:space="0" w:color="auto"/>
              <w:right w:val="single" w:sz="6" w:space="0" w:color="auto"/>
            </w:tcBorders>
          </w:tcPr>
          <w:p w14:paraId="784761F4" w14:textId="21D26E85" w:rsidR="00615BDA" w:rsidRPr="00E82CA2" w:rsidRDefault="001E1D79" w:rsidP="00F34017">
            <w:pPr>
              <w:rPr>
                <w:b/>
                <w:szCs w:val="24"/>
              </w:rPr>
            </w:pPr>
            <w:r>
              <w:rPr>
                <w:b/>
                <w:szCs w:val="24"/>
              </w:rPr>
              <w:t>Leading by Convening Dialogue (cont.)</w:t>
            </w:r>
          </w:p>
        </w:tc>
        <w:tc>
          <w:tcPr>
            <w:tcW w:w="7380" w:type="dxa"/>
            <w:tcBorders>
              <w:top w:val="single" w:sz="6" w:space="0" w:color="auto"/>
              <w:left w:val="single" w:sz="6" w:space="0" w:color="auto"/>
              <w:bottom w:val="single" w:sz="6" w:space="0" w:color="auto"/>
              <w:right w:val="single" w:sz="6" w:space="0" w:color="auto"/>
            </w:tcBorders>
          </w:tcPr>
          <w:p w14:paraId="090B7FCC" w14:textId="19327699" w:rsidR="006F167B" w:rsidRDefault="006F167B" w:rsidP="006F167B">
            <w:pPr>
              <w:rPr>
                <w:u w:val="single"/>
              </w:rPr>
            </w:pPr>
            <w:r w:rsidRPr="00D0106F">
              <w:rPr>
                <w:u w:val="single"/>
              </w:rPr>
              <w:t>Dialogue Guides</w:t>
            </w:r>
            <w:r>
              <w:rPr>
                <w:u w:val="single"/>
              </w:rPr>
              <w:t xml:space="preserve"> (cont.)</w:t>
            </w:r>
          </w:p>
          <w:p w14:paraId="335A0813" w14:textId="55C93225" w:rsidR="006F167B" w:rsidRDefault="006F167B" w:rsidP="00D0106F">
            <w:r>
              <w:t>different than</w:t>
            </w:r>
            <w:r w:rsidRPr="006F167B">
              <w:t xml:space="preserve"> a discussion or debate.  It creates an environment where people expand on your own experience</w:t>
            </w:r>
            <w:r>
              <w:t xml:space="preserve">s </w:t>
            </w:r>
            <w:r w:rsidR="00126CF0">
              <w:t>while supporting</w:t>
            </w:r>
            <w:r>
              <w:t xml:space="preserve"> consensus.  A dialogue guide uses two kinds of questions</w:t>
            </w:r>
            <w:r w:rsidR="008A2682">
              <w:t xml:space="preserve">—reaction questions and application questions.  Reaction questions (for example, </w:t>
            </w:r>
            <w:r w:rsidR="008A2682" w:rsidRPr="008A2682">
              <w:rPr>
                <w:i/>
              </w:rPr>
              <w:t>why is___ important to you?</w:t>
            </w:r>
            <w:r w:rsidR="008A2682">
              <w:t>) helps stakeholders express their perspectives, listen to other’s perspectives, and provide insight into possible shared interests.</w:t>
            </w:r>
          </w:p>
          <w:p w14:paraId="04714D41" w14:textId="63C0B830" w:rsidR="006F167B" w:rsidRPr="003D60E4" w:rsidRDefault="008A2682" w:rsidP="00D0106F">
            <w:r>
              <w:t xml:space="preserve">Application questions help </w:t>
            </w:r>
            <w:r w:rsidR="003D60E4">
              <w:t>the audience imagine what can be done with the information provided—how it can move people into shared action.</w:t>
            </w:r>
          </w:p>
          <w:p w14:paraId="1B661DF0" w14:textId="5D6629AF" w:rsidR="00D0106F" w:rsidRPr="007A2274" w:rsidRDefault="00D0106F" w:rsidP="00D0106F">
            <w:pPr>
              <w:rPr>
                <w:u w:val="single"/>
              </w:rPr>
            </w:pPr>
            <w:r>
              <w:rPr>
                <w:u w:val="single"/>
              </w:rPr>
              <w:t>Additional q</w:t>
            </w:r>
            <w:r w:rsidRPr="007A2274">
              <w:rPr>
                <w:u w:val="single"/>
              </w:rPr>
              <w:t>uestions/comments from members and guests</w:t>
            </w:r>
          </w:p>
          <w:p w14:paraId="3797498B" w14:textId="22959C9F" w:rsidR="00D0106F" w:rsidRDefault="00D0106F" w:rsidP="00D0106F">
            <w:r>
              <w:t>C.  SEAC has an advantage over most State Advisory Panels in other states: we meet monthly which gives us an opportunity to build relationships--the core of LbC.</w:t>
            </w:r>
            <w:r w:rsidR="00126CF0">
              <w:t xml:space="preserve">  We also have less turnover.</w:t>
            </w:r>
          </w:p>
          <w:p w14:paraId="6585B81D" w14:textId="41ED2CAB" w:rsidR="00615BDA" w:rsidRDefault="00D0106F" w:rsidP="00D0106F">
            <w:r>
              <w:t>C.  Screen readers are not just for people with visual disabilities, but also those who do not know how to read.</w:t>
            </w:r>
          </w:p>
        </w:tc>
        <w:tc>
          <w:tcPr>
            <w:tcW w:w="3060" w:type="dxa"/>
            <w:tcBorders>
              <w:top w:val="single" w:sz="6" w:space="0" w:color="auto"/>
              <w:left w:val="single" w:sz="6" w:space="0" w:color="auto"/>
              <w:bottom w:val="single" w:sz="6" w:space="0" w:color="auto"/>
              <w:right w:val="single" w:sz="6" w:space="0" w:color="auto"/>
            </w:tcBorders>
          </w:tcPr>
          <w:p w14:paraId="55F50EB8" w14:textId="77777777" w:rsidR="00615BDA" w:rsidRDefault="00615BDA" w:rsidP="00F34017"/>
        </w:tc>
      </w:tr>
      <w:tr w:rsidR="003D60E4" w14:paraId="47E4891D" w14:textId="77777777" w:rsidTr="00E82CA2">
        <w:tc>
          <w:tcPr>
            <w:tcW w:w="2780" w:type="dxa"/>
            <w:tcBorders>
              <w:top w:val="single" w:sz="6" w:space="0" w:color="auto"/>
              <w:left w:val="single" w:sz="6" w:space="0" w:color="auto"/>
              <w:bottom w:val="single" w:sz="6" w:space="0" w:color="auto"/>
              <w:right w:val="single" w:sz="6" w:space="0" w:color="auto"/>
            </w:tcBorders>
          </w:tcPr>
          <w:p w14:paraId="6FE387F7" w14:textId="4609FA00" w:rsidR="003D60E4" w:rsidRPr="00E82CA2" w:rsidRDefault="001E1D79" w:rsidP="001D0925">
            <w:pPr>
              <w:rPr>
                <w:b/>
                <w:szCs w:val="24"/>
              </w:rPr>
            </w:pPr>
            <w:r>
              <w:rPr>
                <w:b/>
                <w:szCs w:val="24"/>
              </w:rPr>
              <w:t xml:space="preserve">SSIP </w:t>
            </w:r>
            <w:r w:rsidR="001D0925">
              <w:rPr>
                <w:b/>
                <w:szCs w:val="24"/>
              </w:rPr>
              <w:t>&amp;</w:t>
            </w:r>
            <w:r>
              <w:rPr>
                <w:b/>
                <w:szCs w:val="24"/>
              </w:rPr>
              <w:t xml:space="preserve"> Implementation Guidance from Hawaii’s Part B OSEP Monitors</w:t>
            </w:r>
          </w:p>
        </w:tc>
        <w:tc>
          <w:tcPr>
            <w:tcW w:w="7380" w:type="dxa"/>
            <w:tcBorders>
              <w:top w:val="single" w:sz="6" w:space="0" w:color="auto"/>
              <w:left w:val="single" w:sz="6" w:space="0" w:color="auto"/>
              <w:bottom w:val="single" w:sz="6" w:space="0" w:color="auto"/>
              <w:right w:val="single" w:sz="6" w:space="0" w:color="auto"/>
            </w:tcBorders>
          </w:tcPr>
          <w:p w14:paraId="00838538" w14:textId="60A637CE" w:rsidR="003D60E4" w:rsidRDefault="00BF0EEF" w:rsidP="001557C4">
            <w:r>
              <w:t xml:space="preserve">The </w:t>
            </w:r>
            <w:r w:rsidR="000771D8">
              <w:t>Differentiated Monitoring and Support (DMS) Team from the Office of Special Education Programs (OSEP)—Jennifer Barrett-Zitkus, Part B &amp; C State Contact, Angela Tanner Dean, Team Leader</w:t>
            </w:r>
            <w:r w:rsidR="00850E01">
              <w:t>,</w:t>
            </w:r>
            <w:r w:rsidR="000771D8">
              <w:t xml:space="preserve"> and Christine Pilgrim</w:t>
            </w:r>
            <w:r w:rsidR="00850E01">
              <w:t>, Team Member</w:t>
            </w:r>
            <w:r w:rsidR="000771D8">
              <w:t xml:space="preserve">—and SEAC members introduced themselves to one another.  Ms. Barrett-Zitkus explained that OSEP’s monitoring focuses on four main areas:  compliance, results, the State Systemic Improvement Plan (SSIP) and fiscal.  </w:t>
            </w:r>
            <w:r w:rsidR="001557C4">
              <w:t>Hawaii was identified for intensive support based on its reading and math achievement scores for 4</w:t>
            </w:r>
            <w:r w:rsidR="001557C4" w:rsidRPr="001557C4">
              <w:rPr>
                <w:vertAlign w:val="superscript"/>
              </w:rPr>
              <w:t>th</w:t>
            </w:r>
            <w:r w:rsidR="001557C4">
              <w:t xml:space="preserve"> and 8</w:t>
            </w:r>
            <w:r w:rsidR="001557C4" w:rsidRPr="001557C4">
              <w:rPr>
                <w:vertAlign w:val="superscript"/>
              </w:rPr>
              <w:t>th</w:t>
            </w:r>
            <w:r w:rsidR="001557C4">
              <w:t xml:space="preserve"> graders with IEPs and for issues related to the SSIP.</w:t>
            </w:r>
          </w:p>
          <w:p w14:paraId="50605EB1" w14:textId="25F6334F" w:rsidR="00B03C28" w:rsidRDefault="00B03C28" w:rsidP="001557C4">
            <w:pPr>
              <w:rPr>
                <w:u w:val="single"/>
              </w:rPr>
            </w:pPr>
            <w:r w:rsidRPr="00B03C28">
              <w:rPr>
                <w:u w:val="single"/>
              </w:rPr>
              <w:t xml:space="preserve">Responses to SEAC </w:t>
            </w:r>
            <w:r w:rsidR="00850E01">
              <w:rPr>
                <w:u w:val="single"/>
              </w:rPr>
              <w:t>q</w:t>
            </w:r>
            <w:r w:rsidRPr="00B03C28">
              <w:rPr>
                <w:u w:val="single"/>
              </w:rPr>
              <w:t>uestions</w:t>
            </w:r>
            <w:r w:rsidR="00850E01">
              <w:rPr>
                <w:u w:val="single"/>
              </w:rPr>
              <w:t xml:space="preserve"> and links to resources</w:t>
            </w:r>
          </w:p>
          <w:p w14:paraId="355CDFFA" w14:textId="2FA1008A" w:rsidR="00B03C28" w:rsidRDefault="00727EF0" w:rsidP="00727EF0">
            <w:r w:rsidRPr="00727EF0">
              <w:t>T</w:t>
            </w:r>
            <w:r>
              <w:t xml:space="preserve">eam members thanked SEAC for its role as advisors to the Department and emphasized that OSEP places a high priority on stakeholder engagement.  </w:t>
            </w:r>
            <w:r w:rsidR="00437E40">
              <w:t xml:space="preserve">In response to questions submitted </w:t>
            </w:r>
            <w:r w:rsidR="001D0925">
              <w:t xml:space="preserve">by SEAC </w:t>
            </w:r>
            <w:r w:rsidR="00437E40">
              <w:t xml:space="preserve">prior to their visit, the team offered </w:t>
            </w:r>
            <w:r w:rsidR="001D0925">
              <w:t xml:space="preserve">the following </w:t>
            </w:r>
            <w:r w:rsidR="00437E40">
              <w:t>links to resources and supports</w:t>
            </w:r>
            <w:r w:rsidR="001D0925">
              <w:t>:</w:t>
            </w:r>
          </w:p>
          <w:p w14:paraId="06E40C64" w14:textId="0B1D10EB" w:rsidR="00437E40" w:rsidRPr="00727EF0" w:rsidRDefault="005E5F74" w:rsidP="00D818C1">
            <w:r>
              <w:rPr>
                <w:i/>
              </w:rPr>
              <w:t xml:space="preserve">• </w:t>
            </w:r>
            <w:r w:rsidR="00437E40" w:rsidRPr="00D818C1">
              <w:rPr>
                <w:i/>
              </w:rPr>
              <w:t>How can the state system support the behavioral changes in adults necessary for system improvement?</w:t>
            </w:r>
            <w:r w:rsidR="00437E40">
              <w:t xml:space="preserve"> Vanderbilt University IRIS Center:  </w:t>
            </w:r>
            <w:hyperlink r:id="rId8" w:history="1">
              <w:r w:rsidR="00437E40" w:rsidRPr="00D12859">
                <w:rPr>
                  <w:rStyle w:val="Hyperlink"/>
                </w:rPr>
                <w:t>https://iris.peabody.vanderbilt.edu</w:t>
              </w:r>
            </w:hyperlink>
            <w:r w:rsidR="00D818C1">
              <w:t xml:space="preserve"> </w:t>
            </w:r>
          </w:p>
        </w:tc>
        <w:tc>
          <w:tcPr>
            <w:tcW w:w="3060" w:type="dxa"/>
            <w:tcBorders>
              <w:top w:val="single" w:sz="6" w:space="0" w:color="auto"/>
              <w:left w:val="single" w:sz="6" w:space="0" w:color="auto"/>
              <w:bottom w:val="single" w:sz="6" w:space="0" w:color="auto"/>
              <w:right w:val="single" w:sz="6" w:space="0" w:color="auto"/>
            </w:tcBorders>
          </w:tcPr>
          <w:p w14:paraId="75BBFCF7" w14:textId="77777777" w:rsidR="003D60E4" w:rsidRDefault="003D60E4" w:rsidP="00F34017"/>
        </w:tc>
      </w:tr>
    </w:tbl>
    <w:p w14:paraId="0FB9F182" w14:textId="6B72CCB5" w:rsidR="001D0925" w:rsidRDefault="001D0925"/>
    <w:p w14:paraId="4694999B" w14:textId="77777777" w:rsidR="00A17D74" w:rsidRDefault="00A17D74" w:rsidP="00A17D74">
      <w:r>
        <w:lastRenderedPageBreak/>
        <w:t>SEAC Minutes</w:t>
      </w:r>
    </w:p>
    <w:p w14:paraId="4DD59930" w14:textId="77777777" w:rsidR="00A17D74" w:rsidRDefault="00A17D74" w:rsidP="00A17D74">
      <w:r>
        <w:t>January 11, 2019</w:t>
      </w:r>
    </w:p>
    <w:p w14:paraId="1662A407" w14:textId="3B527E27" w:rsidR="00A17D74" w:rsidRDefault="00A17D74" w:rsidP="00A17D74">
      <w:r>
        <w:t>Page 8</w:t>
      </w:r>
    </w:p>
    <w:p w14:paraId="77F25B98" w14:textId="27B0D97F" w:rsidR="00A17D74" w:rsidRDefault="00A17D74"/>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1D0925" w14:paraId="05B9E059" w14:textId="77777777" w:rsidTr="00E82CA2">
        <w:tc>
          <w:tcPr>
            <w:tcW w:w="2780" w:type="dxa"/>
            <w:tcBorders>
              <w:top w:val="single" w:sz="6" w:space="0" w:color="auto"/>
              <w:left w:val="single" w:sz="6" w:space="0" w:color="auto"/>
              <w:bottom w:val="single" w:sz="6" w:space="0" w:color="auto"/>
              <w:right w:val="single" w:sz="6" w:space="0" w:color="auto"/>
            </w:tcBorders>
          </w:tcPr>
          <w:p w14:paraId="0114D743" w14:textId="14BED4B2" w:rsidR="001D0925" w:rsidRPr="00E82CA2" w:rsidRDefault="001D0925" w:rsidP="001D0925">
            <w:pPr>
              <w:rPr>
                <w:b/>
                <w:szCs w:val="24"/>
              </w:rPr>
            </w:pPr>
            <w:r>
              <w:rPr>
                <w:b/>
                <w:szCs w:val="24"/>
              </w:rPr>
              <w:t>SSIP &amp; Implementation Guidance from Hawaii’s Part B OSEP Monitors (cont.)</w:t>
            </w:r>
          </w:p>
        </w:tc>
        <w:tc>
          <w:tcPr>
            <w:tcW w:w="7380" w:type="dxa"/>
            <w:tcBorders>
              <w:top w:val="single" w:sz="6" w:space="0" w:color="auto"/>
              <w:left w:val="single" w:sz="6" w:space="0" w:color="auto"/>
              <w:bottom w:val="single" w:sz="6" w:space="0" w:color="auto"/>
              <w:right w:val="single" w:sz="6" w:space="0" w:color="auto"/>
            </w:tcBorders>
          </w:tcPr>
          <w:p w14:paraId="73C05EF6" w14:textId="7CA3390A" w:rsidR="001D0925" w:rsidRDefault="00850E01" w:rsidP="001D0925">
            <w:pPr>
              <w:rPr>
                <w:u w:val="single"/>
              </w:rPr>
            </w:pPr>
            <w:r>
              <w:rPr>
                <w:u w:val="single"/>
              </w:rPr>
              <w:t>Responses to SEAC q</w:t>
            </w:r>
            <w:r w:rsidR="001D0925" w:rsidRPr="00B03C28">
              <w:rPr>
                <w:u w:val="single"/>
              </w:rPr>
              <w:t>uestions</w:t>
            </w:r>
            <w:r>
              <w:rPr>
                <w:u w:val="single"/>
              </w:rPr>
              <w:t xml:space="preserve"> and links to resources</w:t>
            </w:r>
            <w:r w:rsidR="001D0925">
              <w:rPr>
                <w:u w:val="single"/>
              </w:rPr>
              <w:t xml:space="preserve"> (cont.)</w:t>
            </w:r>
          </w:p>
          <w:p w14:paraId="27C95BF5" w14:textId="751EC329" w:rsidR="001D0925" w:rsidRPr="008D486A" w:rsidRDefault="005E5F74" w:rsidP="001D0925">
            <w:pPr>
              <w:pStyle w:val="Default"/>
              <w:ind w:left="10"/>
              <w:rPr>
                <w:rFonts w:ascii="Times" w:hAnsi="Times"/>
              </w:rPr>
            </w:pPr>
            <w:r>
              <w:rPr>
                <w:rFonts w:ascii="Times" w:hAnsi="Times"/>
                <w:i/>
              </w:rPr>
              <w:t xml:space="preserve">• </w:t>
            </w:r>
            <w:r w:rsidR="001D0925" w:rsidRPr="00D818C1">
              <w:rPr>
                <w:rFonts w:ascii="Times" w:hAnsi="Times"/>
                <w:i/>
              </w:rPr>
              <w:t>How do supports - such as ABA – look in schools in other states, especially in rural areas where provider shortages are most severe?</w:t>
            </w:r>
            <w:r w:rsidR="001D0925" w:rsidRPr="008D486A">
              <w:rPr>
                <w:rFonts w:ascii="Times" w:hAnsi="Times"/>
              </w:rPr>
              <w:t xml:space="preserve"> </w:t>
            </w:r>
          </w:p>
          <w:p w14:paraId="0584A971" w14:textId="0D0CA894" w:rsidR="001D0925" w:rsidRDefault="00D818C1" w:rsidP="002F70F9">
            <w:r>
              <w:t>The</w:t>
            </w:r>
            <w:r w:rsidR="002F70F9">
              <w:t xml:space="preserve"> team is not knowledgeable on what is happening in various classrooms, </w:t>
            </w:r>
            <w:r>
              <w:t xml:space="preserve">so </w:t>
            </w:r>
            <w:r w:rsidR="002F70F9">
              <w:t xml:space="preserve">they suggested contacting other Parent Training and Information Centers through the Center for Parent Information and Resources:  </w:t>
            </w:r>
            <w:hyperlink r:id="rId9" w:history="1">
              <w:r w:rsidR="002F70F9" w:rsidRPr="00D12859">
                <w:rPr>
                  <w:rStyle w:val="Hyperlink"/>
                </w:rPr>
                <w:t>https://www.parentcenterhub.org/</w:t>
              </w:r>
            </w:hyperlink>
            <w:r w:rsidR="002F70F9">
              <w:t>.</w:t>
            </w:r>
          </w:p>
          <w:p w14:paraId="3439707B" w14:textId="31E842AF" w:rsidR="000E420B" w:rsidRDefault="005E5F74" w:rsidP="003B0CFA">
            <w:pPr>
              <w:rPr>
                <w:rFonts w:eastAsia="Times New Roman"/>
                <w:noProof w:val="0"/>
                <w:szCs w:val="24"/>
              </w:rPr>
            </w:pPr>
            <w:r>
              <w:rPr>
                <w:i/>
              </w:rPr>
              <w:t xml:space="preserve">• </w:t>
            </w:r>
            <w:r w:rsidR="00D818C1" w:rsidRPr="00D818C1">
              <w:rPr>
                <w:i/>
              </w:rPr>
              <w:t>What are some “what works” ideas that support recruitment and retention of teachers and high quality leaders?</w:t>
            </w:r>
            <w:r w:rsidR="00D818C1" w:rsidRPr="008D486A">
              <w:t xml:space="preserve"> </w:t>
            </w:r>
            <w:r w:rsidR="00552CC1">
              <w:t xml:space="preserve">Teacher shortages are a problem nationwide and are having a negative impact on students.  </w:t>
            </w:r>
            <w:r w:rsidR="003B0CFA">
              <w:t>The CEEDAR Center has a resource entitled “</w:t>
            </w:r>
            <w:r w:rsidR="003B0CFA" w:rsidRPr="003B0CFA">
              <w:rPr>
                <w:rFonts w:eastAsia="Times New Roman"/>
                <w:noProof w:val="0"/>
                <w:szCs w:val="24"/>
              </w:rPr>
              <w:t xml:space="preserve">Teacher Shortages: Meeting the Demand </w:t>
            </w:r>
            <w:r w:rsidR="003B0CFA">
              <w:rPr>
                <w:rFonts w:eastAsia="Times New Roman"/>
                <w:noProof w:val="0"/>
                <w:szCs w:val="24"/>
              </w:rPr>
              <w:t>w</w:t>
            </w:r>
            <w:r w:rsidR="003B0CFA" w:rsidRPr="003B0CFA">
              <w:rPr>
                <w:rFonts w:eastAsia="Times New Roman"/>
                <w:noProof w:val="0"/>
                <w:szCs w:val="24"/>
              </w:rPr>
              <w:t>ithout Sacrificing Quality Preparation and Support</w:t>
            </w:r>
            <w:r w:rsidR="003B0CFA">
              <w:rPr>
                <w:rFonts w:eastAsia="Times New Roman"/>
                <w:noProof w:val="0"/>
                <w:szCs w:val="24"/>
              </w:rPr>
              <w:t xml:space="preserve">”: </w:t>
            </w:r>
            <w:hyperlink r:id="rId10" w:history="1">
              <w:r w:rsidR="003B0CFA" w:rsidRPr="00D12859">
                <w:rPr>
                  <w:rStyle w:val="Hyperlink"/>
                  <w:rFonts w:eastAsia="Times New Roman"/>
                  <w:noProof w:val="0"/>
                  <w:szCs w:val="24"/>
                </w:rPr>
                <w:t>http://ceedar.education.ufl.edu/wp-content/uploads/2016/10/Teacher-Shortages-Policy-and-Practice-Portrait.pdf</w:t>
              </w:r>
            </w:hyperlink>
            <w:r w:rsidR="000E420B">
              <w:rPr>
                <w:rFonts w:eastAsia="Times New Roman"/>
                <w:noProof w:val="0"/>
                <w:szCs w:val="24"/>
              </w:rPr>
              <w:t xml:space="preserve">.  See also the Center on Great Teachers &amp; Leaders: </w:t>
            </w:r>
            <w:hyperlink r:id="rId11" w:history="1">
              <w:r w:rsidR="000E420B" w:rsidRPr="00D12859">
                <w:rPr>
                  <w:rStyle w:val="Hyperlink"/>
                  <w:rFonts w:eastAsia="Times New Roman"/>
                  <w:noProof w:val="0"/>
                  <w:szCs w:val="24"/>
                </w:rPr>
                <w:t>https://gtlcenter.org/content/gtl-overview</w:t>
              </w:r>
            </w:hyperlink>
            <w:r w:rsidR="000E420B">
              <w:rPr>
                <w:rFonts w:eastAsia="Times New Roman"/>
                <w:noProof w:val="0"/>
                <w:szCs w:val="24"/>
              </w:rPr>
              <w:t>.</w:t>
            </w:r>
          </w:p>
          <w:p w14:paraId="20EB599D" w14:textId="3077A979" w:rsidR="00640AE3" w:rsidRPr="00640AE3" w:rsidRDefault="005E5F74" w:rsidP="000257E6">
            <w:pPr>
              <w:pStyle w:val="Default"/>
              <w:ind w:left="10"/>
              <w:rPr>
                <w:rFonts w:ascii="Times" w:hAnsi="Times"/>
              </w:rPr>
            </w:pPr>
            <w:r>
              <w:rPr>
                <w:rFonts w:ascii="Times" w:hAnsi="Times"/>
                <w:i/>
              </w:rPr>
              <w:t xml:space="preserve">• </w:t>
            </w:r>
            <w:r w:rsidR="00F73AED" w:rsidRPr="00F73AED">
              <w:rPr>
                <w:rFonts w:ascii="Times" w:hAnsi="Times"/>
                <w:i/>
              </w:rPr>
              <w:t xml:space="preserve">Are there prioritized standards for students with IEPs to guide teachers’ content decisions? </w:t>
            </w:r>
            <w:r w:rsidR="00F73AED" w:rsidRPr="00F73AED">
              <w:rPr>
                <w:rFonts w:ascii="Times" w:hAnsi="Times"/>
              </w:rPr>
              <w:t>The team</w:t>
            </w:r>
            <w:r w:rsidR="00F73AED">
              <w:rPr>
                <w:rFonts w:ascii="Times" w:hAnsi="Times"/>
              </w:rPr>
              <w:t xml:space="preserve"> suggested looking at a 2015 Dear Colleague letter that offers guidance on FAPE and content standards: </w:t>
            </w:r>
            <w:hyperlink r:id="rId12" w:history="1">
              <w:r w:rsidR="00F73AED" w:rsidRPr="00D12859">
                <w:rPr>
                  <w:rStyle w:val="Hyperlink"/>
                  <w:rFonts w:ascii="Times" w:hAnsi="Times"/>
                </w:rPr>
                <w:t>https://www2.ed.gov/policy/speced/guid/idea/memosdcltrs/guidance-on-fape-11-17-2015.pdf</w:t>
              </w:r>
            </w:hyperlink>
            <w:r w:rsidR="00F73AED">
              <w:rPr>
                <w:rFonts w:ascii="Times" w:hAnsi="Times"/>
              </w:rPr>
              <w:t>.</w:t>
            </w:r>
            <w:r w:rsidR="00782446">
              <w:rPr>
                <w:rFonts w:ascii="Times" w:hAnsi="Times"/>
              </w:rPr>
              <w:t xml:space="preserve">  The team also suggested</w:t>
            </w:r>
            <w:r>
              <w:rPr>
                <w:rFonts w:ascii="Times" w:hAnsi="Times"/>
              </w:rPr>
              <w:t xml:space="preserve"> an archived symposium on “Increasing Capacity for Developing High-Quality IEPs/IFSPs”: </w:t>
            </w:r>
            <w:hyperlink r:id="rId13" w:history="1">
              <w:r w:rsidR="00640AE3" w:rsidRPr="002153C1">
                <w:rPr>
                  <w:rStyle w:val="Hyperlink"/>
                  <w:rFonts w:ascii="Times" w:hAnsi="Times"/>
                </w:rPr>
                <w:t>https://osepideasthatwork.org/osep-meeting/increasing-capacity-developing-high-quality-iepsifsps</w:t>
              </w:r>
            </w:hyperlink>
            <w:r w:rsidR="00640AE3">
              <w:rPr>
                <w:rFonts w:ascii="Times" w:hAnsi="Times"/>
              </w:rPr>
              <w:t>.</w:t>
            </w:r>
          </w:p>
          <w:p w14:paraId="28B9C223" w14:textId="62BA1432" w:rsidR="006856EA" w:rsidRPr="00640AE3" w:rsidRDefault="005E5F74" w:rsidP="000257E6">
            <w:pPr>
              <w:pStyle w:val="Default"/>
              <w:ind w:left="10"/>
              <w:rPr>
                <w:rFonts w:ascii="Times" w:hAnsi="Times"/>
              </w:rPr>
            </w:pPr>
            <w:r>
              <w:rPr>
                <w:rFonts w:ascii="Times" w:hAnsi="Times"/>
                <w:i/>
              </w:rPr>
              <w:t xml:space="preserve">• </w:t>
            </w:r>
            <w:r w:rsidR="000257E6" w:rsidRPr="000257E6">
              <w:rPr>
                <w:rFonts w:ascii="Times" w:hAnsi="Times"/>
                <w:i/>
              </w:rPr>
              <w:t xml:space="preserve">What changes are anticipated in the next round of SSIP? </w:t>
            </w:r>
            <w:r w:rsidR="00E81BC7">
              <w:rPr>
                <w:rFonts w:ascii="Times" w:hAnsi="Times"/>
              </w:rPr>
              <w:t>OSEP has not yet formulated changes to the next SSIP.</w:t>
            </w:r>
            <w:r w:rsidR="001677E0">
              <w:rPr>
                <w:rFonts w:ascii="Times" w:hAnsi="Times"/>
              </w:rPr>
              <w:t xml:space="preserve">  Its parent organization, the Office of Special Education and Rehabilitative Services (OSERS) is beginning a process of “rethinking special education”</w:t>
            </w:r>
            <w:r w:rsidR="00E81BC7">
              <w:rPr>
                <w:rFonts w:ascii="Times" w:hAnsi="Times"/>
              </w:rPr>
              <w:t xml:space="preserve"> </w:t>
            </w:r>
            <w:r w:rsidR="001677E0">
              <w:rPr>
                <w:rFonts w:ascii="Times" w:hAnsi="Times"/>
              </w:rPr>
              <w:t>so that there is greater support, partnership and flexibility.</w:t>
            </w:r>
            <w:r w:rsidR="0008474A">
              <w:rPr>
                <w:rFonts w:ascii="Times" w:hAnsi="Times"/>
              </w:rPr>
              <w:t xml:space="preserve">  The current state performance plan will end in 2020, and then proposed changes will go out for public comment.</w:t>
            </w:r>
          </w:p>
          <w:p w14:paraId="7959831E" w14:textId="72D0B593" w:rsidR="006856EA" w:rsidRDefault="00782446" w:rsidP="000257E6">
            <w:pPr>
              <w:pStyle w:val="Default"/>
              <w:ind w:left="10"/>
              <w:rPr>
                <w:rFonts w:ascii="Times" w:hAnsi="Times"/>
              </w:rPr>
            </w:pPr>
            <w:r>
              <w:rPr>
                <w:rFonts w:ascii="Times" w:hAnsi="Times"/>
              </w:rPr>
              <w:t xml:space="preserve">Additional websites </w:t>
            </w:r>
            <w:r w:rsidR="005E5F74">
              <w:rPr>
                <w:rFonts w:ascii="Times" w:hAnsi="Times"/>
              </w:rPr>
              <w:t xml:space="preserve">that were shared </w:t>
            </w:r>
            <w:r>
              <w:rPr>
                <w:rFonts w:ascii="Times" w:hAnsi="Times"/>
              </w:rPr>
              <w:t>include:</w:t>
            </w:r>
          </w:p>
          <w:p w14:paraId="4ABF6146" w14:textId="3F7D64D0" w:rsidR="00782446" w:rsidRDefault="00782446" w:rsidP="00782446">
            <w:pPr>
              <w:pStyle w:val="Default"/>
              <w:numPr>
                <w:ilvl w:val="0"/>
                <w:numId w:val="19"/>
              </w:numPr>
              <w:rPr>
                <w:rFonts w:ascii="Times" w:hAnsi="Times"/>
              </w:rPr>
            </w:pPr>
            <w:r>
              <w:rPr>
                <w:rFonts w:ascii="Times" w:hAnsi="Times"/>
              </w:rPr>
              <w:t xml:space="preserve">OSEP’s Ideas That Work: </w:t>
            </w:r>
            <w:hyperlink r:id="rId14" w:history="1">
              <w:r w:rsidRPr="002153C1">
                <w:rPr>
                  <w:rStyle w:val="Hyperlink"/>
                  <w:rFonts w:ascii="Times" w:hAnsi="Times"/>
                </w:rPr>
                <w:t>https://osepideasthatwork.org/</w:t>
              </w:r>
            </w:hyperlink>
          </w:p>
          <w:p w14:paraId="1792CEA1" w14:textId="2D5FCA68" w:rsidR="00CA6B43" w:rsidRPr="00640AE3" w:rsidRDefault="00782446" w:rsidP="00640AE3">
            <w:pPr>
              <w:pStyle w:val="Default"/>
              <w:numPr>
                <w:ilvl w:val="0"/>
                <w:numId w:val="19"/>
              </w:numPr>
              <w:rPr>
                <w:rFonts w:ascii="Times" w:hAnsi="Times"/>
              </w:rPr>
            </w:pPr>
            <w:r>
              <w:rPr>
                <w:rFonts w:ascii="Times" w:hAnsi="Times"/>
              </w:rPr>
              <w:t xml:space="preserve">USDOE’s IDEA website: </w:t>
            </w:r>
            <w:hyperlink r:id="rId15" w:history="1">
              <w:r w:rsidR="00640AE3" w:rsidRPr="002153C1">
                <w:rPr>
                  <w:rStyle w:val="Hyperlink"/>
                  <w:rFonts w:ascii="Times" w:hAnsi="Times"/>
                </w:rPr>
                <w:t>https://sites.ed.gov/idea</w:t>
              </w:r>
            </w:hyperlink>
          </w:p>
        </w:tc>
        <w:tc>
          <w:tcPr>
            <w:tcW w:w="3060" w:type="dxa"/>
            <w:tcBorders>
              <w:top w:val="single" w:sz="6" w:space="0" w:color="auto"/>
              <w:left w:val="single" w:sz="6" w:space="0" w:color="auto"/>
              <w:bottom w:val="single" w:sz="6" w:space="0" w:color="auto"/>
              <w:right w:val="single" w:sz="6" w:space="0" w:color="auto"/>
            </w:tcBorders>
          </w:tcPr>
          <w:p w14:paraId="760DAD2F" w14:textId="77777777" w:rsidR="001D0925" w:rsidRDefault="001D0925" w:rsidP="00F34017"/>
        </w:tc>
      </w:tr>
    </w:tbl>
    <w:p w14:paraId="7AEC78F2" w14:textId="77777777" w:rsidR="00640AE3" w:rsidRDefault="00640AE3" w:rsidP="00640AE3">
      <w:r>
        <w:lastRenderedPageBreak/>
        <w:t>SEAC Minutes</w:t>
      </w:r>
    </w:p>
    <w:p w14:paraId="5CE8CF3A" w14:textId="77777777" w:rsidR="00640AE3" w:rsidRDefault="00640AE3" w:rsidP="00640AE3">
      <w:r>
        <w:t>January 11, 2019</w:t>
      </w:r>
    </w:p>
    <w:p w14:paraId="6A62D2E3" w14:textId="1E6B7F34" w:rsidR="00640AE3" w:rsidRDefault="00640AE3" w:rsidP="00640AE3">
      <w:r>
        <w:t>Page 9</w:t>
      </w:r>
    </w:p>
    <w:p w14:paraId="7B309309" w14:textId="1185B383" w:rsidR="00640AE3" w:rsidRDefault="00640AE3"/>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640AE3" w14:paraId="0D71AF8A" w14:textId="77777777" w:rsidTr="00E82CA2">
        <w:tc>
          <w:tcPr>
            <w:tcW w:w="2780" w:type="dxa"/>
            <w:tcBorders>
              <w:top w:val="single" w:sz="6" w:space="0" w:color="auto"/>
              <w:left w:val="single" w:sz="6" w:space="0" w:color="auto"/>
              <w:bottom w:val="single" w:sz="6" w:space="0" w:color="auto"/>
              <w:right w:val="single" w:sz="6" w:space="0" w:color="auto"/>
            </w:tcBorders>
          </w:tcPr>
          <w:p w14:paraId="44140A15" w14:textId="015E627F" w:rsidR="00640AE3" w:rsidRPr="00E82CA2" w:rsidRDefault="007231D7" w:rsidP="00F34017">
            <w:pPr>
              <w:rPr>
                <w:b/>
                <w:szCs w:val="24"/>
              </w:rPr>
            </w:pPr>
            <w:r>
              <w:rPr>
                <w:b/>
                <w:szCs w:val="24"/>
              </w:rPr>
              <w:t>SSIP &amp; Implementation Guidance from Hawaii’s Part B OSEP Monitors (cont.)</w:t>
            </w:r>
          </w:p>
        </w:tc>
        <w:tc>
          <w:tcPr>
            <w:tcW w:w="7380" w:type="dxa"/>
            <w:tcBorders>
              <w:top w:val="single" w:sz="6" w:space="0" w:color="auto"/>
              <w:left w:val="single" w:sz="6" w:space="0" w:color="auto"/>
              <w:bottom w:val="single" w:sz="6" w:space="0" w:color="auto"/>
              <w:right w:val="single" w:sz="6" w:space="0" w:color="auto"/>
            </w:tcBorders>
          </w:tcPr>
          <w:p w14:paraId="08E6CB0C" w14:textId="77777777" w:rsidR="00640AE3" w:rsidRDefault="00F6164F" w:rsidP="00F34017">
            <w:pPr>
              <w:rPr>
                <w:u w:val="single"/>
              </w:rPr>
            </w:pPr>
            <w:r w:rsidRPr="00F6164F">
              <w:rPr>
                <w:u w:val="single"/>
              </w:rPr>
              <w:t>APR Indicator 8 discussion</w:t>
            </w:r>
          </w:p>
          <w:p w14:paraId="4FD3AF8E" w14:textId="311BA6D7" w:rsidR="00F6164F" w:rsidRPr="00F6164F" w:rsidRDefault="00F6164F" w:rsidP="0062387F">
            <w:r w:rsidRPr="00F6164F">
              <w:t>Team members</w:t>
            </w:r>
            <w:r>
              <w:t xml:space="preserve"> were asked if OSEP is reconsidering </w:t>
            </w:r>
            <w:r w:rsidR="00C371A2">
              <w:t xml:space="preserve">how to determine parent satisfaction/parent involvement in the special education process.  </w:t>
            </w:r>
            <w:r w:rsidR="006631DC">
              <w:t xml:space="preserve">SEAC remembers seeing </w:t>
            </w:r>
            <w:r w:rsidR="00924C9F">
              <w:t>feedback</w:t>
            </w:r>
            <w:r w:rsidR="006631DC">
              <w:t xml:space="preserve"> </w:t>
            </w:r>
            <w:r w:rsidR="00D20A89">
              <w:t>from</w:t>
            </w:r>
            <w:r w:rsidR="006631DC">
              <w:t xml:space="preserve"> a nationally convened panel </w:t>
            </w:r>
            <w:r w:rsidR="00D20A89">
              <w:t xml:space="preserve">five or more years ago </w:t>
            </w:r>
            <w:r w:rsidR="006631DC">
              <w:t xml:space="preserve">that the current multi-question survey </w:t>
            </w:r>
            <w:r w:rsidR="00641BFA">
              <w:t>used by most states</w:t>
            </w:r>
            <w:r w:rsidR="00272DE0">
              <w:t xml:space="preserve"> </w:t>
            </w:r>
            <w:r w:rsidR="00641BFA">
              <w:t>is</w:t>
            </w:r>
            <w:r w:rsidR="006631DC">
              <w:t xml:space="preserve"> </w:t>
            </w:r>
            <w:r w:rsidR="00D20A89">
              <w:t>not getting at the essence of the parent/school relationship</w:t>
            </w:r>
            <w:r w:rsidR="006631DC">
              <w:t xml:space="preserve">.  In Hawaii, the percentage of parents who return the survey is </w:t>
            </w:r>
            <w:r w:rsidR="00D20A89">
              <w:t>low--</w:t>
            </w:r>
            <w:r w:rsidR="006631DC">
              <w:t xml:space="preserve">8% or less.  Additionally, our Board policy has been revised to reflect family/school </w:t>
            </w:r>
            <w:r w:rsidR="006631DC" w:rsidRPr="006631DC">
              <w:rPr>
                <w:i/>
              </w:rPr>
              <w:t>partnership</w:t>
            </w:r>
            <w:r w:rsidR="006631DC">
              <w:t xml:space="preserve">—a stronger and more meaningful </w:t>
            </w:r>
            <w:r w:rsidR="00D20A89">
              <w:t>goal</w:t>
            </w:r>
            <w:r w:rsidR="00641BFA">
              <w:t xml:space="preserve"> than </w:t>
            </w:r>
            <w:r w:rsidR="00641BFA" w:rsidRPr="00641BFA">
              <w:rPr>
                <w:i/>
              </w:rPr>
              <w:t xml:space="preserve">involvement </w:t>
            </w:r>
            <w:r w:rsidR="00641BFA">
              <w:t xml:space="preserve">or </w:t>
            </w:r>
            <w:r w:rsidR="00641BFA" w:rsidRPr="00641BFA">
              <w:rPr>
                <w:i/>
              </w:rPr>
              <w:t>engagement</w:t>
            </w:r>
            <w:r w:rsidR="00641BFA">
              <w:t>.</w:t>
            </w:r>
            <w:r w:rsidR="006E77E1">
              <w:t xml:space="preserve">  </w:t>
            </w:r>
            <w:r w:rsidR="00A0046A">
              <w:t xml:space="preserve">Ms. Barrett-Zitkus encouraged SEAC to submit comments when new APR requirements are proposed.  </w:t>
            </w:r>
            <w:r w:rsidR="00D20A89">
              <w:t xml:space="preserve">Currently </w:t>
            </w:r>
            <w:r w:rsidR="00A0046A">
              <w:t xml:space="preserve">OSEP allows states the flexibility to choose a </w:t>
            </w:r>
            <w:r w:rsidR="00D20A89">
              <w:t xml:space="preserve">parent </w:t>
            </w:r>
            <w:r w:rsidR="00A0046A">
              <w:t>survey tool, as long a</w:t>
            </w:r>
            <w:r w:rsidR="00215622">
              <w:t>s the results are</w:t>
            </w:r>
            <w:r w:rsidR="00A0046A">
              <w:t xml:space="preserve"> representative of students receiving special education in terms of race and ethnicity.  Drew Saranil</w:t>
            </w:r>
            <w:r w:rsidR="00D20A89">
              <w:t>l</w:t>
            </w:r>
            <w:r w:rsidR="00A0046A">
              <w:t>io</w:t>
            </w:r>
            <w:r w:rsidR="0063073C">
              <w:t xml:space="preserve">, an educational specialist in the Monitoring and Compliance Branch, </w:t>
            </w:r>
            <w:r w:rsidR="00D20A89">
              <w:t>reporte</w:t>
            </w:r>
            <w:r w:rsidR="0063073C">
              <w:t xml:space="preserve">d that they sent out parent surveys to all schools, and would like to follow up to see why the surveys are not being distributed to parents.  Lindsay Heller from Volcano </w:t>
            </w:r>
            <w:r w:rsidR="0062387F">
              <w:t>offered that</w:t>
            </w:r>
            <w:r w:rsidR="0063073C">
              <w:t xml:space="preserve"> she has never been given the survey.  Brende Ancheta on Kauai </w:t>
            </w:r>
            <w:r w:rsidR="0062387F">
              <w:t>said</w:t>
            </w:r>
            <w:r w:rsidR="0063073C">
              <w:t xml:space="preserve"> that she always got two surveys, one for each son in special education.</w:t>
            </w:r>
            <w:r w:rsidR="007F0AE6">
              <w:t xml:space="preserve">  Tricia Shee</w:t>
            </w:r>
            <w:r w:rsidR="00215622">
              <w:t xml:space="preserve">hey </w:t>
            </w:r>
            <w:r w:rsidR="0062387F">
              <w:t>prepares</w:t>
            </w:r>
            <w:r w:rsidR="00215622">
              <w:t xml:space="preserve"> teacher candidates </w:t>
            </w:r>
            <w:r w:rsidR="007F0AE6">
              <w:t xml:space="preserve">at the University of Hawaii </w:t>
            </w:r>
            <w:r w:rsidR="0062387F">
              <w:t>for</w:t>
            </w:r>
            <w:r w:rsidR="007F0AE6">
              <w:t xml:space="preserve"> the IEP </w:t>
            </w:r>
            <w:r w:rsidR="00215622">
              <w:t xml:space="preserve">process </w:t>
            </w:r>
            <w:r w:rsidR="007F0AE6">
              <w:t>and makes sure that they know about the parent survey and when to give it to parents.  She offered to collaborate with the Department on the optimal method of distribution.</w:t>
            </w:r>
          </w:p>
        </w:tc>
        <w:tc>
          <w:tcPr>
            <w:tcW w:w="3060" w:type="dxa"/>
            <w:tcBorders>
              <w:top w:val="single" w:sz="6" w:space="0" w:color="auto"/>
              <w:left w:val="single" w:sz="6" w:space="0" w:color="auto"/>
              <w:bottom w:val="single" w:sz="6" w:space="0" w:color="auto"/>
              <w:right w:val="single" w:sz="6" w:space="0" w:color="auto"/>
            </w:tcBorders>
          </w:tcPr>
          <w:p w14:paraId="53E2D997" w14:textId="77777777" w:rsidR="00640AE3" w:rsidRDefault="00640AE3" w:rsidP="00F34017"/>
          <w:p w14:paraId="40C251F6" w14:textId="77777777" w:rsidR="007F0AE6" w:rsidRDefault="007F0AE6" w:rsidP="00F34017"/>
          <w:p w14:paraId="79CF2567" w14:textId="77777777" w:rsidR="007F0AE6" w:rsidRDefault="007F0AE6" w:rsidP="00F34017"/>
          <w:p w14:paraId="1ADAD4DC" w14:textId="77777777" w:rsidR="007F0AE6" w:rsidRDefault="007F0AE6" w:rsidP="00F34017"/>
          <w:p w14:paraId="5824B9E3" w14:textId="77777777" w:rsidR="007F0AE6" w:rsidRDefault="007F0AE6" w:rsidP="00F34017"/>
          <w:p w14:paraId="13FC1BA0" w14:textId="77777777" w:rsidR="007F0AE6" w:rsidRDefault="007F0AE6" w:rsidP="00F34017"/>
          <w:p w14:paraId="49BC7AA7" w14:textId="77777777" w:rsidR="007F0AE6" w:rsidRDefault="007F0AE6" w:rsidP="00F34017"/>
          <w:p w14:paraId="5EBA34FA" w14:textId="77777777" w:rsidR="007F0AE6" w:rsidRDefault="007F0AE6" w:rsidP="00F34017"/>
          <w:p w14:paraId="288F52A2" w14:textId="77777777" w:rsidR="007F0AE6" w:rsidRDefault="007F0AE6" w:rsidP="00F34017"/>
          <w:p w14:paraId="1D61D557" w14:textId="77777777" w:rsidR="007F0AE6" w:rsidRDefault="007F0AE6" w:rsidP="00F34017"/>
          <w:p w14:paraId="4D421ED4" w14:textId="77777777" w:rsidR="007F0AE6" w:rsidRDefault="007F0AE6" w:rsidP="00F34017"/>
          <w:p w14:paraId="7CA59C01" w14:textId="77777777" w:rsidR="007F0AE6" w:rsidRDefault="007F0AE6" w:rsidP="00F34017"/>
          <w:p w14:paraId="785ECF44" w14:textId="77777777" w:rsidR="007F0AE6" w:rsidRDefault="007F0AE6" w:rsidP="00F34017"/>
          <w:p w14:paraId="68425C1C" w14:textId="77777777" w:rsidR="007F0AE6" w:rsidRDefault="007F0AE6" w:rsidP="00F34017"/>
          <w:p w14:paraId="38A17375" w14:textId="77777777" w:rsidR="002055C4" w:rsidRDefault="002055C4" w:rsidP="007F0AE6"/>
          <w:p w14:paraId="24D7217A" w14:textId="77777777" w:rsidR="002055C4" w:rsidRDefault="002055C4" w:rsidP="007F0AE6"/>
          <w:p w14:paraId="0702B1F5" w14:textId="79F6DFFB" w:rsidR="007F0AE6" w:rsidRDefault="007F0AE6" w:rsidP="007F0AE6">
            <w:r>
              <w:t>Drew asked parents to contact him directly or through SEAC, if they don’t receive the annual parent survey, and  he will follow up.</w:t>
            </w:r>
          </w:p>
        </w:tc>
      </w:tr>
      <w:tr w:rsidR="00E82CA2" w14:paraId="5401432F" w14:textId="77777777" w:rsidTr="00E82CA2">
        <w:tc>
          <w:tcPr>
            <w:tcW w:w="2780" w:type="dxa"/>
            <w:tcBorders>
              <w:top w:val="single" w:sz="6" w:space="0" w:color="auto"/>
              <w:left w:val="single" w:sz="6" w:space="0" w:color="auto"/>
              <w:bottom w:val="single" w:sz="6" w:space="0" w:color="auto"/>
              <w:right w:val="single" w:sz="6" w:space="0" w:color="auto"/>
            </w:tcBorders>
          </w:tcPr>
          <w:p w14:paraId="189DEA30" w14:textId="01411FE5" w:rsidR="00E82CA2" w:rsidRDefault="009E2B91" w:rsidP="00F34017">
            <w:pPr>
              <w:rPr>
                <w:b/>
                <w:szCs w:val="24"/>
              </w:rPr>
            </w:pPr>
            <w:r>
              <w:rPr>
                <w:b/>
                <w:szCs w:val="24"/>
              </w:rPr>
              <w:t>Review of the Process of Infographic Approval and Dissemination</w:t>
            </w:r>
          </w:p>
        </w:tc>
        <w:tc>
          <w:tcPr>
            <w:tcW w:w="7380" w:type="dxa"/>
            <w:tcBorders>
              <w:top w:val="single" w:sz="6" w:space="0" w:color="auto"/>
              <w:left w:val="single" w:sz="6" w:space="0" w:color="auto"/>
              <w:bottom w:val="single" w:sz="6" w:space="0" w:color="auto"/>
              <w:right w:val="single" w:sz="6" w:space="0" w:color="auto"/>
            </w:tcBorders>
          </w:tcPr>
          <w:p w14:paraId="3A714319" w14:textId="77777777" w:rsidR="00E82CA2" w:rsidRDefault="009E2B91" w:rsidP="00F34017">
            <w:r>
              <w:t>Joanne Cashman summed up the steps in the process of co-creating infographics and sharing them with the wider community:</w:t>
            </w:r>
          </w:p>
          <w:p w14:paraId="637CE144" w14:textId="03659890" w:rsidR="009E2B91" w:rsidRDefault="009E2B91" w:rsidP="00EB2A17">
            <w:pPr>
              <w:ind w:left="370" w:hanging="360"/>
            </w:pPr>
            <w:r>
              <w:t xml:space="preserve">1) </w:t>
            </w:r>
            <w:r w:rsidR="00EB2A17">
              <w:t xml:space="preserve">  </w:t>
            </w:r>
            <w:r>
              <w:t>Co-create content;</w:t>
            </w:r>
          </w:p>
          <w:p w14:paraId="360597BB" w14:textId="0CDC414D" w:rsidR="009E2B91" w:rsidRDefault="009E2B91" w:rsidP="00EB2A17">
            <w:pPr>
              <w:ind w:left="370" w:hanging="360"/>
            </w:pPr>
            <w:r>
              <w:t xml:space="preserve">2) </w:t>
            </w:r>
            <w:r w:rsidR="00EB2A17">
              <w:t xml:space="preserve">  </w:t>
            </w:r>
            <w:r>
              <w:t xml:space="preserve">Use the </w:t>
            </w:r>
            <w:r w:rsidRPr="009E2B91">
              <w:rPr>
                <w:i/>
              </w:rPr>
              <w:t>Infographic Review Form</w:t>
            </w:r>
            <w:r>
              <w:rPr>
                <w:i/>
              </w:rPr>
              <w:t xml:space="preserve"> </w:t>
            </w:r>
            <w:r>
              <w:t>as the basis for editing the draft infographic and send it out to all members of SEAC;</w:t>
            </w:r>
          </w:p>
          <w:p w14:paraId="6B9A85B5" w14:textId="77777777" w:rsidR="009E2B91" w:rsidRDefault="009E2B91" w:rsidP="00EB2A17">
            <w:pPr>
              <w:ind w:left="370" w:hanging="360"/>
            </w:pPr>
            <w:r>
              <w:t>3)</w:t>
            </w:r>
            <w:r w:rsidR="00EB2A17">
              <w:t xml:space="preserve">   Draft approval of the infographic;</w:t>
            </w:r>
          </w:p>
          <w:p w14:paraId="74152A6F" w14:textId="77777777" w:rsidR="00EB2A17" w:rsidRDefault="00EB2A17" w:rsidP="00EB2A17">
            <w:pPr>
              <w:ind w:left="370" w:hanging="360"/>
            </w:pPr>
            <w:r>
              <w:t>4)   Create a Dialogue Guide;</w:t>
            </w:r>
          </w:p>
          <w:p w14:paraId="68D4A494" w14:textId="0BC0D7C0" w:rsidR="00EB2A17" w:rsidRPr="009E2B91" w:rsidRDefault="00EB2A17" w:rsidP="00EB2A17">
            <w:pPr>
              <w:ind w:left="370" w:hanging="360"/>
            </w:pPr>
            <w:r>
              <w:t>5)   Pilot the infographic using the Dialogue Guide to one or more targeted audiences outside of SEAC;</w:t>
            </w:r>
          </w:p>
        </w:tc>
        <w:tc>
          <w:tcPr>
            <w:tcW w:w="3060" w:type="dxa"/>
            <w:tcBorders>
              <w:top w:val="single" w:sz="6" w:space="0" w:color="auto"/>
              <w:left w:val="single" w:sz="6" w:space="0" w:color="auto"/>
              <w:bottom w:val="single" w:sz="6" w:space="0" w:color="auto"/>
              <w:right w:val="single" w:sz="6" w:space="0" w:color="auto"/>
            </w:tcBorders>
          </w:tcPr>
          <w:p w14:paraId="40BAA964" w14:textId="0775B408" w:rsidR="00E82CA2" w:rsidRDefault="00E82CA2" w:rsidP="00F34017"/>
        </w:tc>
      </w:tr>
    </w:tbl>
    <w:p w14:paraId="0021A46A" w14:textId="77777777" w:rsidR="00400E97" w:rsidRDefault="00400E97" w:rsidP="00EB2A17"/>
    <w:p w14:paraId="00191AF7" w14:textId="77777777" w:rsidR="00EB2A17" w:rsidRDefault="00EB2A17" w:rsidP="00EB2A17">
      <w:r>
        <w:lastRenderedPageBreak/>
        <w:t>SEAC Minutes</w:t>
      </w:r>
    </w:p>
    <w:p w14:paraId="5E2C2EF9" w14:textId="77777777" w:rsidR="00EB2A17" w:rsidRDefault="00EB2A17" w:rsidP="00EB2A17">
      <w:r>
        <w:t>January 11, 2019</w:t>
      </w:r>
    </w:p>
    <w:p w14:paraId="6012FDF8" w14:textId="0D67FF21" w:rsidR="00EB2A17" w:rsidRDefault="00EB2A17" w:rsidP="00EB2A17">
      <w:r>
        <w:t xml:space="preserve">Page </w:t>
      </w:r>
      <w:r w:rsidR="0021536D">
        <w:t>10</w:t>
      </w:r>
    </w:p>
    <w:p w14:paraId="305F21A2" w14:textId="4C99FE5F" w:rsidR="00EB2A17" w:rsidRDefault="00EB2A17"/>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1F6B6AB3" w14:textId="77777777" w:rsidTr="003C25C5">
        <w:tc>
          <w:tcPr>
            <w:tcW w:w="2780" w:type="dxa"/>
            <w:tcBorders>
              <w:top w:val="single" w:sz="6" w:space="0" w:color="auto"/>
              <w:left w:val="single" w:sz="6" w:space="0" w:color="auto"/>
              <w:bottom w:val="single" w:sz="6" w:space="0" w:color="auto"/>
              <w:right w:val="single" w:sz="6" w:space="0" w:color="auto"/>
            </w:tcBorders>
          </w:tcPr>
          <w:p w14:paraId="1216B83E" w14:textId="11A3D365" w:rsidR="009B1E69" w:rsidRPr="00B87935" w:rsidRDefault="00916FB6" w:rsidP="006C7F21">
            <w:pPr>
              <w:rPr>
                <w:b/>
                <w:szCs w:val="24"/>
              </w:rPr>
            </w:pPr>
            <w:r>
              <w:rPr>
                <w:b/>
                <w:szCs w:val="24"/>
              </w:rPr>
              <w:t>Review of the Process of Infographic Approval and Dissemination (cont.)</w:t>
            </w:r>
          </w:p>
        </w:tc>
        <w:tc>
          <w:tcPr>
            <w:tcW w:w="7380" w:type="dxa"/>
            <w:tcBorders>
              <w:top w:val="single" w:sz="6" w:space="0" w:color="auto"/>
              <w:left w:val="single" w:sz="6" w:space="0" w:color="auto"/>
              <w:bottom w:val="single" w:sz="6" w:space="0" w:color="auto"/>
              <w:right w:val="single" w:sz="6" w:space="0" w:color="auto"/>
            </w:tcBorders>
          </w:tcPr>
          <w:p w14:paraId="35C46840" w14:textId="77777777" w:rsidR="003C25C5" w:rsidRDefault="00E94179" w:rsidP="00400E97">
            <w:pPr>
              <w:pStyle w:val="Default"/>
              <w:ind w:left="370" w:hanging="360"/>
              <w:rPr>
                <w:rFonts w:ascii="Times" w:hAnsi="Times"/>
              </w:rPr>
            </w:pPr>
            <w:r w:rsidRPr="00400E97">
              <w:rPr>
                <w:rFonts w:ascii="Times" w:hAnsi="Times"/>
              </w:rPr>
              <w:t xml:space="preserve"> </w:t>
            </w:r>
            <w:r w:rsidR="00400E97">
              <w:rPr>
                <w:rFonts w:ascii="Times" w:hAnsi="Times"/>
              </w:rPr>
              <w:t xml:space="preserve">6)  </w:t>
            </w:r>
            <w:r w:rsidR="00400E97" w:rsidRPr="00400E97">
              <w:rPr>
                <w:rFonts w:ascii="Times" w:hAnsi="Times"/>
              </w:rPr>
              <w:t xml:space="preserve">Seek feedback on the value of the infographic to educate and spark </w:t>
            </w:r>
            <w:r w:rsidR="00EB2A17" w:rsidRPr="00400E97">
              <w:rPr>
                <w:rFonts w:ascii="Times" w:hAnsi="Times"/>
              </w:rPr>
              <w:t>action;</w:t>
            </w:r>
          </w:p>
          <w:p w14:paraId="532D152C" w14:textId="77777777" w:rsidR="00400E97" w:rsidRDefault="00400E97" w:rsidP="00400E97">
            <w:pPr>
              <w:pStyle w:val="Default"/>
              <w:ind w:left="370" w:hanging="360"/>
              <w:rPr>
                <w:rFonts w:ascii="Times" w:hAnsi="Times"/>
              </w:rPr>
            </w:pPr>
            <w:r>
              <w:rPr>
                <w:rFonts w:ascii="Times" w:hAnsi="Times"/>
              </w:rPr>
              <w:t xml:space="preserve"> 7)  Provide final approval of the infographic and Dialogue Guide;</w:t>
            </w:r>
          </w:p>
          <w:p w14:paraId="25AD2ACF" w14:textId="77777777" w:rsidR="00400E97" w:rsidRDefault="00400E97" w:rsidP="00400E97">
            <w:pPr>
              <w:pStyle w:val="Default"/>
              <w:ind w:left="370" w:hanging="360"/>
              <w:rPr>
                <w:rFonts w:ascii="Times" w:hAnsi="Times"/>
              </w:rPr>
            </w:pPr>
            <w:r>
              <w:rPr>
                <w:rFonts w:ascii="Times" w:hAnsi="Times"/>
              </w:rPr>
              <w:t xml:space="preserve"> 8)  Disseminate to other groups/networks for greater impact.</w:t>
            </w:r>
          </w:p>
          <w:p w14:paraId="244A4B59" w14:textId="745CEA0A" w:rsidR="00400E97" w:rsidRPr="00400E97" w:rsidRDefault="00400E97" w:rsidP="00400E97">
            <w:pPr>
              <w:pStyle w:val="Default"/>
              <w:ind w:left="10"/>
              <w:rPr>
                <w:rFonts w:ascii="Times" w:hAnsi="Times"/>
              </w:rPr>
            </w:pPr>
            <w:r>
              <w:rPr>
                <w:rFonts w:ascii="Times" w:hAnsi="Times"/>
              </w:rPr>
              <w:t xml:space="preserve">Joanne encouraged members to look around for </w:t>
            </w:r>
            <w:r w:rsidR="00A877C4">
              <w:rPr>
                <w:rFonts w:ascii="Times" w:hAnsi="Times"/>
              </w:rPr>
              <w:t xml:space="preserve">potential </w:t>
            </w:r>
            <w:r>
              <w:rPr>
                <w:rFonts w:ascii="Times" w:hAnsi="Times"/>
              </w:rPr>
              <w:t xml:space="preserve">networks </w:t>
            </w:r>
            <w:r w:rsidR="00A877C4">
              <w:rPr>
                <w:rFonts w:ascii="Times" w:hAnsi="Times"/>
              </w:rPr>
              <w:t xml:space="preserve">with which to share </w:t>
            </w:r>
            <w:r>
              <w:rPr>
                <w:rFonts w:ascii="Times" w:hAnsi="Times"/>
              </w:rPr>
              <w:t>and build a connection to SEAC as a conduit to a larger group of people.</w:t>
            </w:r>
          </w:p>
        </w:tc>
        <w:tc>
          <w:tcPr>
            <w:tcW w:w="3060" w:type="dxa"/>
            <w:tcBorders>
              <w:top w:val="single" w:sz="6" w:space="0" w:color="auto"/>
              <w:left w:val="single" w:sz="6" w:space="0" w:color="auto"/>
              <w:bottom w:val="single" w:sz="6" w:space="0" w:color="auto"/>
              <w:right w:val="single" w:sz="6" w:space="0" w:color="auto"/>
            </w:tcBorders>
          </w:tcPr>
          <w:p w14:paraId="5139547F" w14:textId="77777777" w:rsidR="009B1E69" w:rsidRDefault="009B1E69" w:rsidP="0000652C"/>
        </w:tc>
      </w:tr>
      <w:tr w:rsidR="00A877C4" w14:paraId="2747BC04" w14:textId="77777777" w:rsidTr="007B7E53">
        <w:tc>
          <w:tcPr>
            <w:tcW w:w="2780" w:type="dxa"/>
            <w:tcBorders>
              <w:top w:val="single" w:sz="6" w:space="0" w:color="auto"/>
              <w:left w:val="single" w:sz="6" w:space="0" w:color="auto"/>
              <w:bottom w:val="single" w:sz="6" w:space="0" w:color="auto"/>
              <w:right w:val="single" w:sz="6" w:space="0" w:color="auto"/>
            </w:tcBorders>
          </w:tcPr>
          <w:p w14:paraId="3AF3788D" w14:textId="0604A093" w:rsidR="00A877C4" w:rsidRPr="00E82CA2" w:rsidRDefault="00A877C4" w:rsidP="007B7E53">
            <w:pPr>
              <w:rPr>
                <w:b/>
                <w:szCs w:val="24"/>
              </w:rPr>
            </w:pPr>
            <w:r>
              <w:rPr>
                <w:b/>
                <w:szCs w:val="24"/>
              </w:rPr>
              <w:t>Sample Dialogue Guide</w:t>
            </w:r>
          </w:p>
        </w:tc>
        <w:tc>
          <w:tcPr>
            <w:tcW w:w="7380" w:type="dxa"/>
            <w:tcBorders>
              <w:top w:val="single" w:sz="6" w:space="0" w:color="auto"/>
              <w:left w:val="single" w:sz="6" w:space="0" w:color="auto"/>
              <w:bottom w:val="single" w:sz="6" w:space="0" w:color="auto"/>
              <w:right w:val="single" w:sz="6" w:space="0" w:color="auto"/>
            </w:tcBorders>
          </w:tcPr>
          <w:p w14:paraId="29648F3E" w14:textId="68FA0865" w:rsidR="00A36503" w:rsidRDefault="00A877C4" w:rsidP="00BA6600">
            <w:r>
              <w:t>Joanne was asked to summarize the process for developing the Dialogue Guide entitled “ADHD and Military-Connected Children: A Parents’ Guide through Transitions.”</w:t>
            </w:r>
            <w:r w:rsidR="006025DA">
              <w:t xml:space="preserve">  It grew out of a project with the Military Child Education Coalition and began with an infographic that made three broad points for military families whose children have ADHD:  1) ADHD is biological and treatable; 2) </w:t>
            </w:r>
            <w:r w:rsidR="00822CF6">
              <w:t xml:space="preserve">families are the service coordinators for their children; and 3) professional support is available.  It was followed by an infographic that offered parent tips related to identification, post identification, and how to live well with the diagnosis.  The Dialogue Guide contained both reaction questions and application questions to spark greater understanding and </w:t>
            </w:r>
            <w:r w:rsidR="00A36503">
              <w:t>future collaboration.</w:t>
            </w:r>
            <w:r w:rsidR="0062387F">
              <w:t xml:space="preserve">  </w:t>
            </w:r>
            <w:r w:rsidR="00A36503">
              <w:t xml:space="preserve">Joanne suggested that the Dialogue Guide for disproportionality </w:t>
            </w:r>
            <w:r w:rsidR="00BA6600">
              <w:t xml:space="preserve">might </w:t>
            </w:r>
            <w:r w:rsidR="00A36503">
              <w:t xml:space="preserve">fit </w:t>
            </w:r>
            <w:r w:rsidR="0062387F">
              <w:t xml:space="preserve">into </w:t>
            </w:r>
            <w:r w:rsidR="00A36503">
              <w:t xml:space="preserve">the same format, starting with short scenarios that folks could recognize.  The goal is to create feedback loops to bring a greater understanding of the issue back to a </w:t>
            </w:r>
            <w:r w:rsidR="00BA6600">
              <w:t>group that can do something with it.</w:t>
            </w:r>
          </w:p>
        </w:tc>
        <w:tc>
          <w:tcPr>
            <w:tcW w:w="3060" w:type="dxa"/>
            <w:tcBorders>
              <w:top w:val="single" w:sz="6" w:space="0" w:color="auto"/>
              <w:left w:val="single" w:sz="6" w:space="0" w:color="auto"/>
              <w:bottom w:val="single" w:sz="6" w:space="0" w:color="auto"/>
              <w:right w:val="single" w:sz="6" w:space="0" w:color="auto"/>
            </w:tcBorders>
          </w:tcPr>
          <w:p w14:paraId="11D80515" w14:textId="77777777" w:rsidR="00A877C4" w:rsidRDefault="00A877C4" w:rsidP="0000652C"/>
        </w:tc>
      </w:tr>
      <w:tr w:rsidR="00BA6600" w14:paraId="3E3D6FAF" w14:textId="77777777" w:rsidTr="007B7E53">
        <w:tc>
          <w:tcPr>
            <w:tcW w:w="2780" w:type="dxa"/>
            <w:tcBorders>
              <w:top w:val="single" w:sz="6" w:space="0" w:color="auto"/>
              <w:left w:val="single" w:sz="6" w:space="0" w:color="auto"/>
              <w:bottom w:val="single" w:sz="6" w:space="0" w:color="auto"/>
              <w:right w:val="single" w:sz="6" w:space="0" w:color="auto"/>
            </w:tcBorders>
          </w:tcPr>
          <w:p w14:paraId="62CEACE9" w14:textId="54F17B5E" w:rsidR="00BA6600" w:rsidRPr="00E82CA2" w:rsidRDefault="00916FB6" w:rsidP="007B7E53">
            <w:pPr>
              <w:rPr>
                <w:b/>
                <w:szCs w:val="24"/>
              </w:rPr>
            </w:pPr>
            <w:r>
              <w:rPr>
                <w:b/>
                <w:szCs w:val="24"/>
              </w:rPr>
              <w:t>OSEP Webinar</w:t>
            </w:r>
          </w:p>
        </w:tc>
        <w:tc>
          <w:tcPr>
            <w:tcW w:w="7380" w:type="dxa"/>
            <w:tcBorders>
              <w:top w:val="single" w:sz="6" w:space="0" w:color="auto"/>
              <w:left w:val="single" w:sz="6" w:space="0" w:color="auto"/>
              <w:bottom w:val="single" w:sz="6" w:space="0" w:color="auto"/>
              <w:right w:val="single" w:sz="6" w:space="0" w:color="auto"/>
            </w:tcBorders>
          </w:tcPr>
          <w:p w14:paraId="2DCC582A" w14:textId="284A5C97" w:rsidR="00BA6600" w:rsidRDefault="00916FB6" w:rsidP="0062387F">
            <w:r>
              <w:t xml:space="preserve">Joanne asked that SEAC consider showcasing </w:t>
            </w:r>
            <w:r w:rsidR="0062387F">
              <w:t xml:space="preserve">its partnership with the Department using the LbC process and </w:t>
            </w:r>
            <w:r>
              <w:t xml:space="preserve">its infographics as a shared work product at the next </w:t>
            </w:r>
            <w:r w:rsidR="0021536D">
              <w:t xml:space="preserve">OSEP </w:t>
            </w:r>
            <w:r w:rsidR="0062387F">
              <w:t>w</w:t>
            </w:r>
            <w:r w:rsidR="0021536D">
              <w:t xml:space="preserve">ebinar for State Advisory Panels and State Interagency Coordinating Councils </w:t>
            </w:r>
            <w:r w:rsidR="0062387F">
              <w:t>(</w:t>
            </w:r>
            <w:r w:rsidR="0021536D">
              <w:t xml:space="preserve">April or </w:t>
            </w:r>
            <w:r w:rsidR="0062387F">
              <w:t>M</w:t>
            </w:r>
            <w:r w:rsidR="0021536D">
              <w:t>ay</w:t>
            </w:r>
            <w:r w:rsidR="0062387F">
              <w:t>)</w:t>
            </w:r>
            <w:r w:rsidR="0021536D">
              <w:t>.  She thinks it would be impor</w:t>
            </w:r>
            <w:r w:rsidR="0062387F">
              <w:t>t</w:t>
            </w:r>
            <w:r w:rsidR="0021536D">
              <w:t xml:space="preserve">ant for other states to hear how Hawaii’s SEAC </w:t>
            </w:r>
            <w:r w:rsidR="0062387F">
              <w:t>operates</w:t>
            </w:r>
            <w:r w:rsidR="0021536D">
              <w:t>.</w:t>
            </w:r>
          </w:p>
        </w:tc>
        <w:tc>
          <w:tcPr>
            <w:tcW w:w="3060" w:type="dxa"/>
            <w:tcBorders>
              <w:top w:val="single" w:sz="6" w:space="0" w:color="auto"/>
              <w:left w:val="single" w:sz="6" w:space="0" w:color="auto"/>
              <w:bottom w:val="single" w:sz="6" w:space="0" w:color="auto"/>
              <w:right w:val="single" w:sz="6" w:space="0" w:color="auto"/>
            </w:tcBorders>
          </w:tcPr>
          <w:p w14:paraId="135EFDDB" w14:textId="6B041A4E" w:rsidR="00BA6600" w:rsidRDefault="0021536D" w:rsidP="0000652C">
            <w:r>
              <w:t>Martha provide a tentative agreement to participate and asked for more details as they are available.</w:t>
            </w:r>
          </w:p>
        </w:tc>
      </w:tr>
      <w:tr w:rsidR="009E2B91" w14:paraId="2F8E6E2A" w14:textId="77777777" w:rsidTr="007B7E53">
        <w:tc>
          <w:tcPr>
            <w:tcW w:w="2780" w:type="dxa"/>
            <w:tcBorders>
              <w:top w:val="single" w:sz="6" w:space="0" w:color="auto"/>
              <w:left w:val="single" w:sz="6" w:space="0" w:color="auto"/>
              <w:bottom w:val="single" w:sz="6" w:space="0" w:color="auto"/>
              <w:right w:val="single" w:sz="6" w:space="0" w:color="auto"/>
            </w:tcBorders>
          </w:tcPr>
          <w:p w14:paraId="5D4EF8CC" w14:textId="309E9B2B" w:rsidR="009E2B91" w:rsidRPr="00324147" w:rsidRDefault="009E2B91" w:rsidP="007B7E53">
            <w:pPr>
              <w:rPr>
                <w:b/>
                <w:szCs w:val="24"/>
              </w:rPr>
            </w:pPr>
            <w:r w:rsidRPr="00E82CA2">
              <w:rPr>
                <w:b/>
                <w:szCs w:val="24"/>
              </w:rPr>
              <w:t>Review of the December 14, 2018 Minutes</w:t>
            </w:r>
          </w:p>
        </w:tc>
        <w:tc>
          <w:tcPr>
            <w:tcW w:w="7380" w:type="dxa"/>
            <w:tcBorders>
              <w:top w:val="single" w:sz="6" w:space="0" w:color="auto"/>
              <w:left w:val="single" w:sz="6" w:space="0" w:color="auto"/>
              <w:bottom w:val="single" w:sz="6" w:space="0" w:color="auto"/>
              <w:right w:val="single" w:sz="6" w:space="0" w:color="auto"/>
            </w:tcBorders>
          </w:tcPr>
          <w:p w14:paraId="1B9B241B" w14:textId="77777777" w:rsidR="009E2B91" w:rsidRDefault="009E2B91" w:rsidP="008E743A">
            <w:r>
              <w:t>No changes were made to the minutes of the December meeting.</w:t>
            </w:r>
          </w:p>
          <w:p w14:paraId="39AB9DA6" w14:textId="7C8223F4" w:rsidR="009E2B91" w:rsidRPr="00A255DA" w:rsidRDefault="009E2B91" w:rsidP="00390AB9"/>
        </w:tc>
        <w:tc>
          <w:tcPr>
            <w:tcW w:w="3060" w:type="dxa"/>
            <w:tcBorders>
              <w:top w:val="single" w:sz="6" w:space="0" w:color="auto"/>
              <w:left w:val="single" w:sz="6" w:space="0" w:color="auto"/>
              <w:bottom w:val="single" w:sz="6" w:space="0" w:color="auto"/>
              <w:right w:val="single" w:sz="6" w:space="0" w:color="auto"/>
            </w:tcBorders>
          </w:tcPr>
          <w:p w14:paraId="07CBC698" w14:textId="29C4E98A" w:rsidR="009E2B91" w:rsidRDefault="009E2B91" w:rsidP="0000652C">
            <w:r>
              <w:t>The minutes were accepted as written.</w:t>
            </w:r>
          </w:p>
        </w:tc>
      </w:tr>
      <w:tr w:rsidR="0001257E" w14:paraId="35C68BC2" w14:textId="77777777" w:rsidTr="007B7E53">
        <w:tc>
          <w:tcPr>
            <w:tcW w:w="2780" w:type="dxa"/>
            <w:tcBorders>
              <w:top w:val="single" w:sz="6" w:space="0" w:color="auto"/>
              <w:left w:val="single" w:sz="6" w:space="0" w:color="auto"/>
              <w:bottom w:val="single" w:sz="6" w:space="0" w:color="auto"/>
              <w:right w:val="single" w:sz="6" w:space="0" w:color="auto"/>
            </w:tcBorders>
          </w:tcPr>
          <w:p w14:paraId="1F467DA0" w14:textId="76F2D528" w:rsidR="0001257E" w:rsidRDefault="00916FB6" w:rsidP="007B7E53">
            <w:pPr>
              <w:rPr>
                <w:b/>
                <w:szCs w:val="24"/>
              </w:rPr>
            </w:pPr>
            <w:r>
              <w:rPr>
                <w:b/>
                <w:szCs w:val="24"/>
              </w:rPr>
              <w:t xml:space="preserve">Agenda Setting for </w:t>
            </w:r>
            <w:r w:rsidR="0062387F">
              <w:rPr>
                <w:b/>
                <w:szCs w:val="24"/>
              </w:rPr>
              <w:t xml:space="preserve">the </w:t>
            </w:r>
            <w:r>
              <w:rPr>
                <w:b/>
                <w:szCs w:val="24"/>
              </w:rPr>
              <w:t>February 8</w:t>
            </w:r>
            <w:r>
              <w:rPr>
                <w:b/>
                <w:szCs w:val="24"/>
                <w:vertAlign w:val="superscript"/>
              </w:rPr>
              <w:t xml:space="preserve">th </w:t>
            </w:r>
            <w:r>
              <w:rPr>
                <w:b/>
                <w:szCs w:val="24"/>
              </w:rPr>
              <w:t>Meeting</w:t>
            </w:r>
          </w:p>
        </w:tc>
        <w:tc>
          <w:tcPr>
            <w:tcW w:w="7380" w:type="dxa"/>
            <w:tcBorders>
              <w:top w:val="single" w:sz="6" w:space="0" w:color="auto"/>
              <w:left w:val="single" w:sz="6" w:space="0" w:color="auto"/>
              <w:bottom w:val="single" w:sz="6" w:space="0" w:color="auto"/>
              <w:right w:val="single" w:sz="6" w:space="0" w:color="auto"/>
            </w:tcBorders>
          </w:tcPr>
          <w:p w14:paraId="6E4E1540" w14:textId="5518F1E8" w:rsidR="0001257E" w:rsidRDefault="00916FB6" w:rsidP="00390AB9">
            <w:r>
              <w:t>Members agreed that the top three agenda items should be:  Amy Kunz’ budget presentation, an APR update on the remaining indicator data, and infographic work group activities.</w:t>
            </w:r>
          </w:p>
        </w:tc>
        <w:tc>
          <w:tcPr>
            <w:tcW w:w="3060" w:type="dxa"/>
            <w:tcBorders>
              <w:top w:val="single" w:sz="6" w:space="0" w:color="auto"/>
              <w:left w:val="single" w:sz="6" w:space="0" w:color="auto"/>
              <w:bottom w:val="single" w:sz="6" w:space="0" w:color="auto"/>
              <w:right w:val="single" w:sz="6" w:space="0" w:color="auto"/>
            </w:tcBorders>
          </w:tcPr>
          <w:p w14:paraId="449225F2" w14:textId="77777777" w:rsidR="0001257E" w:rsidRDefault="0001257E" w:rsidP="0000652C"/>
        </w:tc>
      </w:tr>
    </w:tbl>
    <w:p w14:paraId="723F629A" w14:textId="77777777" w:rsidR="006C7F21" w:rsidRDefault="006C7F21" w:rsidP="009B1E69"/>
    <w:sectPr w:rsidR="006C7F21">
      <w:headerReference w:type="default" r:id="rId16"/>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4227" w14:textId="77777777" w:rsidR="00A62AEA" w:rsidRDefault="00A62AEA">
      <w:r>
        <w:separator/>
      </w:r>
    </w:p>
  </w:endnote>
  <w:endnote w:type="continuationSeparator" w:id="0">
    <w:p w14:paraId="6521F6A5" w14:textId="77777777" w:rsidR="00A62AEA" w:rsidRDefault="00A6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B024" w14:textId="77777777" w:rsidR="00A62AEA" w:rsidRDefault="00A62AEA">
      <w:r>
        <w:separator/>
      </w:r>
    </w:p>
  </w:footnote>
  <w:footnote w:type="continuationSeparator" w:id="0">
    <w:p w14:paraId="0496CF8B" w14:textId="77777777" w:rsidR="00A62AEA" w:rsidRDefault="00A62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D771" w14:textId="58F80908" w:rsidR="004B50E0" w:rsidRPr="00853E75" w:rsidRDefault="00667B87">
    <w:pPr>
      <w:pStyle w:val="Header"/>
      <w:jc w:val="right"/>
      <w:rPr>
        <w:u w:val="single"/>
      </w:rPr>
    </w:pPr>
    <w:r>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95A"/>
    <w:multiLevelType w:val="hybridMultilevel"/>
    <w:tmpl w:val="F4E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11C8"/>
    <w:multiLevelType w:val="hybridMultilevel"/>
    <w:tmpl w:val="8EA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25979"/>
    <w:multiLevelType w:val="hybridMultilevel"/>
    <w:tmpl w:val="75F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00D2A"/>
    <w:multiLevelType w:val="hybridMultilevel"/>
    <w:tmpl w:val="885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9005E"/>
    <w:multiLevelType w:val="hybridMultilevel"/>
    <w:tmpl w:val="B57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828C3"/>
    <w:multiLevelType w:val="hybridMultilevel"/>
    <w:tmpl w:val="19BE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B52B6"/>
    <w:multiLevelType w:val="hybridMultilevel"/>
    <w:tmpl w:val="9830D58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nsid w:val="4FBF0991"/>
    <w:multiLevelType w:val="hybridMultilevel"/>
    <w:tmpl w:val="9B8CB330"/>
    <w:lvl w:ilvl="0" w:tplc="21CE20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3CB6B17"/>
    <w:multiLevelType w:val="hybridMultilevel"/>
    <w:tmpl w:val="2B4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B279A"/>
    <w:multiLevelType w:val="hybridMultilevel"/>
    <w:tmpl w:val="E1D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43DC3"/>
    <w:multiLevelType w:val="hybridMultilevel"/>
    <w:tmpl w:val="7CBC9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C506F"/>
    <w:multiLevelType w:val="hybridMultilevel"/>
    <w:tmpl w:val="F2DE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A17CC"/>
    <w:multiLevelType w:val="hybridMultilevel"/>
    <w:tmpl w:val="C8C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5">
    <w:nsid w:val="6AB56122"/>
    <w:multiLevelType w:val="hybridMultilevel"/>
    <w:tmpl w:val="BCC0AE66"/>
    <w:lvl w:ilvl="0" w:tplc="22881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165A1"/>
    <w:multiLevelType w:val="hybridMultilevel"/>
    <w:tmpl w:val="4E28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809A6"/>
    <w:multiLevelType w:val="hybridMultilevel"/>
    <w:tmpl w:val="E5A8060A"/>
    <w:lvl w:ilvl="0" w:tplc="0F9406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3"/>
  </w:num>
  <w:num w:numId="5">
    <w:abstractNumId w:val="13"/>
  </w:num>
  <w:num w:numId="6">
    <w:abstractNumId w:val="18"/>
  </w:num>
  <w:num w:numId="7">
    <w:abstractNumId w:val="9"/>
  </w:num>
  <w:num w:numId="8">
    <w:abstractNumId w:val="15"/>
  </w:num>
  <w:num w:numId="9">
    <w:abstractNumId w:val="8"/>
  </w:num>
  <w:num w:numId="10">
    <w:abstractNumId w:val="6"/>
  </w:num>
  <w:num w:numId="11">
    <w:abstractNumId w:val="0"/>
  </w:num>
  <w:num w:numId="12">
    <w:abstractNumId w:val="5"/>
  </w:num>
  <w:num w:numId="13">
    <w:abstractNumId w:val="1"/>
  </w:num>
  <w:num w:numId="14">
    <w:abstractNumId w:val="17"/>
  </w:num>
  <w:num w:numId="15">
    <w:abstractNumId w:val="11"/>
  </w:num>
  <w:num w:numId="16">
    <w:abstractNumId w:val="10"/>
  </w:num>
  <w:num w:numId="17">
    <w:abstractNumId w:val="12"/>
  </w:num>
  <w:num w:numId="18">
    <w:abstractNumId w:val="4"/>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0652C"/>
    <w:rsid w:val="0001172C"/>
    <w:rsid w:val="0001257E"/>
    <w:rsid w:val="00016D46"/>
    <w:rsid w:val="00017B9E"/>
    <w:rsid w:val="00020ACF"/>
    <w:rsid w:val="00020B23"/>
    <w:rsid w:val="00021838"/>
    <w:rsid w:val="000257E6"/>
    <w:rsid w:val="00027061"/>
    <w:rsid w:val="0002797F"/>
    <w:rsid w:val="000302C0"/>
    <w:rsid w:val="0003037D"/>
    <w:rsid w:val="00031C75"/>
    <w:rsid w:val="00032A66"/>
    <w:rsid w:val="00037187"/>
    <w:rsid w:val="00050244"/>
    <w:rsid w:val="00050761"/>
    <w:rsid w:val="00051A1A"/>
    <w:rsid w:val="000520BA"/>
    <w:rsid w:val="000579A1"/>
    <w:rsid w:val="00070D2B"/>
    <w:rsid w:val="00071646"/>
    <w:rsid w:val="000733A4"/>
    <w:rsid w:val="0007450F"/>
    <w:rsid w:val="00075BD8"/>
    <w:rsid w:val="000771D8"/>
    <w:rsid w:val="000777C5"/>
    <w:rsid w:val="00077E3D"/>
    <w:rsid w:val="0008181E"/>
    <w:rsid w:val="0008474A"/>
    <w:rsid w:val="00086B77"/>
    <w:rsid w:val="00087792"/>
    <w:rsid w:val="00097F60"/>
    <w:rsid w:val="000B4359"/>
    <w:rsid w:val="000B5B9A"/>
    <w:rsid w:val="000B6D14"/>
    <w:rsid w:val="000C53D1"/>
    <w:rsid w:val="000C5B39"/>
    <w:rsid w:val="000C6A00"/>
    <w:rsid w:val="000C7561"/>
    <w:rsid w:val="000C7962"/>
    <w:rsid w:val="000D0715"/>
    <w:rsid w:val="000D0BE4"/>
    <w:rsid w:val="000D35BB"/>
    <w:rsid w:val="000D3A96"/>
    <w:rsid w:val="000D663B"/>
    <w:rsid w:val="000D6C06"/>
    <w:rsid w:val="000D7360"/>
    <w:rsid w:val="000E420B"/>
    <w:rsid w:val="000E5724"/>
    <w:rsid w:val="000E5B7D"/>
    <w:rsid w:val="000E5CF0"/>
    <w:rsid w:val="000E70A3"/>
    <w:rsid w:val="000E72EC"/>
    <w:rsid w:val="000F014F"/>
    <w:rsid w:val="000F079F"/>
    <w:rsid w:val="000F23F9"/>
    <w:rsid w:val="000F2544"/>
    <w:rsid w:val="000F50D4"/>
    <w:rsid w:val="000F6E70"/>
    <w:rsid w:val="00111175"/>
    <w:rsid w:val="00114A7C"/>
    <w:rsid w:val="00117435"/>
    <w:rsid w:val="00117E6F"/>
    <w:rsid w:val="00123801"/>
    <w:rsid w:val="00125380"/>
    <w:rsid w:val="00126CF0"/>
    <w:rsid w:val="00130E76"/>
    <w:rsid w:val="001342E5"/>
    <w:rsid w:val="00140139"/>
    <w:rsid w:val="001402F6"/>
    <w:rsid w:val="001467F7"/>
    <w:rsid w:val="001471EB"/>
    <w:rsid w:val="00151C75"/>
    <w:rsid w:val="00152F63"/>
    <w:rsid w:val="00155589"/>
    <w:rsid w:val="001557C4"/>
    <w:rsid w:val="00155FA3"/>
    <w:rsid w:val="001572BD"/>
    <w:rsid w:val="00157D91"/>
    <w:rsid w:val="00157F51"/>
    <w:rsid w:val="001655FD"/>
    <w:rsid w:val="001677E0"/>
    <w:rsid w:val="00171191"/>
    <w:rsid w:val="0017121E"/>
    <w:rsid w:val="00172302"/>
    <w:rsid w:val="001767B2"/>
    <w:rsid w:val="00182401"/>
    <w:rsid w:val="001832C4"/>
    <w:rsid w:val="0018369A"/>
    <w:rsid w:val="001841E5"/>
    <w:rsid w:val="00190696"/>
    <w:rsid w:val="00191127"/>
    <w:rsid w:val="00191C62"/>
    <w:rsid w:val="00192991"/>
    <w:rsid w:val="00193A2F"/>
    <w:rsid w:val="00194259"/>
    <w:rsid w:val="001A3D75"/>
    <w:rsid w:val="001A7321"/>
    <w:rsid w:val="001B3877"/>
    <w:rsid w:val="001C0F1D"/>
    <w:rsid w:val="001C1710"/>
    <w:rsid w:val="001C410C"/>
    <w:rsid w:val="001D0925"/>
    <w:rsid w:val="001D0F37"/>
    <w:rsid w:val="001D31A6"/>
    <w:rsid w:val="001D4678"/>
    <w:rsid w:val="001E1B90"/>
    <w:rsid w:val="001E1D79"/>
    <w:rsid w:val="002038B1"/>
    <w:rsid w:val="002055C4"/>
    <w:rsid w:val="00206231"/>
    <w:rsid w:val="00207176"/>
    <w:rsid w:val="002104F0"/>
    <w:rsid w:val="002140A1"/>
    <w:rsid w:val="0021536D"/>
    <w:rsid w:val="00215622"/>
    <w:rsid w:val="00215BC4"/>
    <w:rsid w:val="00220842"/>
    <w:rsid w:val="0022421C"/>
    <w:rsid w:val="00227714"/>
    <w:rsid w:val="002325FF"/>
    <w:rsid w:val="002332DB"/>
    <w:rsid w:val="00233B48"/>
    <w:rsid w:val="00234A3F"/>
    <w:rsid w:val="00237E56"/>
    <w:rsid w:val="00246A7D"/>
    <w:rsid w:val="0024727F"/>
    <w:rsid w:val="00250B3A"/>
    <w:rsid w:val="002577A9"/>
    <w:rsid w:val="002655E0"/>
    <w:rsid w:val="0026601C"/>
    <w:rsid w:val="00272AC1"/>
    <w:rsid w:val="00272DE0"/>
    <w:rsid w:val="00274388"/>
    <w:rsid w:val="00277A09"/>
    <w:rsid w:val="0028202A"/>
    <w:rsid w:val="002827EC"/>
    <w:rsid w:val="0028452D"/>
    <w:rsid w:val="0029337D"/>
    <w:rsid w:val="00293F09"/>
    <w:rsid w:val="0029567E"/>
    <w:rsid w:val="002A057E"/>
    <w:rsid w:val="002A17C2"/>
    <w:rsid w:val="002A370D"/>
    <w:rsid w:val="002A52B4"/>
    <w:rsid w:val="002A7720"/>
    <w:rsid w:val="002B1F2C"/>
    <w:rsid w:val="002B33A1"/>
    <w:rsid w:val="002B3DC0"/>
    <w:rsid w:val="002B3F71"/>
    <w:rsid w:val="002B70D8"/>
    <w:rsid w:val="002C47B3"/>
    <w:rsid w:val="002C4B9F"/>
    <w:rsid w:val="002C664B"/>
    <w:rsid w:val="002D1089"/>
    <w:rsid w:val="002D2455"/>
    <w:rsid w:val="002D499D"/>
    <w:rsid w:val="002D7A29"/>
    <w:rsid w:val="002E009D"/>
    <w:rsid w:val="002E0B97"/>
    <w:rsid w:val="002E695B"/>
    <w:rsid w:val="002F074D"/>
    <w:rsid w:val="002F70F9"/>
    <w:rsid w:val="003070C0"/>
    <w:rsid w:val="00320B4C"/>
    <w:rsid w:val="00324147"/>
    <w:rsid w:val="00324D25"/>
    <w:rsid w:val="003274FE"/>
    <w:rsid w:val="00336095"/>
    <w:rsid w:val="003366C0"/>
    <w:rsid w:val="00340BF1"/>
    <w:rsid w:val="00345C72"/>
    <w:rsid w:val="0034659A"/>
    <w:rsid w:val="00347148"/>
    <w:rsid w:val="0034777B"/>
    <w:rsid w:val="00351D85"/>
    <w:rsid w:val="0035440B"/>
    <w:rsid w:val="0035762A"/>
    <w:rsid w:val="003601C0"/>
    <w:rsid w:val="0036145D"/>
    <w:rsid w:val="003620D2"/>
    <w:rsid w:val="0036322C"/>
    <w:rsid w:val="003650FF"/>
    <w:rsid w:val="0036702E"/>
    <w:rsid w:val="003742FA"/>
    <w:rsid w:val="00375F23"/>
    <w:rsid w:val="003818DD"/>
    <w:rsid w:val="00381DF2"/>
    <w:rsid w:val="00382A1F"/>
    <w:rsid w:val="003839D0"/>
    <w:rsid w:val="00390AB9"/>
    <w:rsid w:val="00393ECC"/>
    <w:rsid w:val="00397D93"/>
    <w:rsid w:val="00397EAE"/>
    <w:rsid w:val="003A0B39"/>
    <w:rsid w:val="003A2CA5"/>
    <w:rsid w:val="003A2FA5"/>
    <w:rsid w:val="003A398A"/>
    <w:rsid w:val="003A3EA5"/>
    <w:rsid w:val="003B0CFA"/>
    <w:rsid w:val="003B21E8"/>
    <w:rsid w:val="003B30A3"/>
    <w:rsid w:val="003B3E7F"/>
    <w:rsid w:val="003B492E"/>
    <w:rsid w:val="003C129C"/>
    <w:rsid w:val="003C25C5"/>
    <w:rsid w:val="003C2EA4"/>
    <w:rsid w:val="003D0662"/>
    <w:rsid w:val="003D083C"/>
    <w:rsid w:val="003D11E4"/>
    <w:rsid w:val="003D2322"/>
    <w:rsid w:val="003D4448"/>
    <w:rsid w:val="003D60E4"/>
    <w:rsid w:val="003D630E"/>
    <w:rsid w:val="003D6E0F"/>
    <w:rsid w:val="003E6476"/>
    <w:rsid w:val="003E6E6B"/>
    <w:rsid w:val="003F5AA4"/>
    <w:rsid w:val="003F5C80"/>
    <w:rsid w:val="003F6757"/>
    <w:rsid w:val="004007D7"/>
    <w:rsid w:val="00400E97"/>
    <w:rsid w:val="0040101E"/>
    <w:rsid w:val="0042751F"/>
    <w:rsid w:val="00427C8B"/>
    <w:rsid w:val="00427CA9"/>
    <w:rsid w:val="00432BB3"/>
    <w:rsid w:val="004348B1"/>
    <w:rsid w:val="00435847"/>
    <w:rsid w:val="00437E40"/>
    <w:rsid w:val="00442D49"/>
    <w:rsid w:val="004463A0"/>
    <w:rsid w:val="00453757"/>
    <w:rsid w:val="0045438D"/>
    <w:rsid w:val="00455738"/>
    <w:rsid w:val="00460612"/>
    <w:rsid w:val="00465C38"/>
    <w:rsid w:val="00472972"/>
    <w:rsid w:val="00473B2C"/>
    <w:rsid w:val="00475359"/>
    <w:rsid w:val="00480382"/>
    <w:rsid w:val="00481795"/>
    <w:rsid w:val="004831EA"/>
    <w:rsid w:val="00486891"/>
    <w:rsid w:val="00491315"/>
    <w:rsid w:val="0049249D"/>
    <w:rsid w:val="00494FB4"/>
    <w:rsid w:val="00495945"/>
    <w:rsid w:val="00495B85"/>
    <w:rsid w:val="00496890"/>
    <w:rsid w:val="00497807"/>
    <w:rsid w:val="004A2948"/>
    <w:rsid w:val="004A7FF7"/>
    <w:rsid w:val="004B4EF8"/>
    <w:rsid w:val="004B50E0"/>
    <w:rsid w:val="004B5A7F"/>
    <w:rsid w:val="004B7C9A"/>
    <w:rsid w:val="004C134B"/>
    <w:rsid w:val="004C25A4"/>
    <w:rsid w:val="004C4AF2"/>
    <w:rsid w:val="004D2CF0"/>
    <w:rsid w:val="004D44FC"/>
    <w:rsid w:val="004E22E5"/>
    <w:rsid w:val="004E2E47"/>
    <w:rsid w:val="004E3D37"/>
    <w:rsid w:val="004E7218"/>
    <w:rsid w:val="004F60F6"/>
    <w:rsid w:val="00500E4B"/>
    <w:rsid w:val="00504CD8"/>
    <w:rsid w:val="00505649"/>
    <w:rsid w:val="005103BE"/>
    <w:rsid w:val="0051157C"/>
    <w:rsid w:val="005207AE"/>
    <w:rsid w:val="00522E3D"/>
    <w:rsid w:val="005252B5"/>
    <w:rsid w:val="00525606"/>
    <w:rsid w:val="00526304"/>
    <w:rsid w:val="00530666"/>
    <w:rsid w:val="0053583B"/>
    <w:rsid w:val="00541FEA"/>
    <w:rsid w:val="00542BD0"/>
    <w:rsid w:val="0054312C"/>
    <w:rsid w:val="00545682"/>
    <w:rsid w:val="0055140E"/>
    <w:rsid w:val="00552CC1"/>
    <w:rsid w:val="005579E9"/>
    <w:rsid w:val="00557C3D"/>
    <w:rsid w:val="00564D74"/>
    <w:rsid w:val="00565BED"/>
    <w:rsid w:val="00575FBF"/>
    <w:rsid w:val="00581520"/>
    <w:rsid w:val="0058596B"/>
    <w:rsid w:val="005912D7"/>
    <w:rsid w:val="00591901"/>
    <w:rsid w:val="00593A98"/>
    <w:rsid w:val="005A0650"/>
    <w:rsid w:val="005A146B"/>
    <w:rsid w:val="005A3E39"/>
    <w:rsid w:val="005B41E9"/>
    <w:rsid w:val="005C025C"/>
    <w:rsid w:val="005C0620"/>
    <w:rsid w:val="005C15F6"/>
    <w:rsid w:val="005C30F7"/>
    <w:rsid w:val="005C3854"/>
    <w:rsid w:val="005C4880"/>
    <w:rsid w:val="005C67F5"/>
    <w:rsid w:val="005D529F"/>
    <w:rsid w:val="005D6FE7"/>
    <w:rsid w:val="005D77A3"/>
    <w:rsid w:val="005D78AA"/>
    <w:rsid w:val="005E2036"/>
    <w:rsid w:val="005E2CDD"/>
    <w:rsid w:val="005E5F74"/>
    <w:rsid w:val="005F008D"/>
    <w:rsid w:val="005F3431"/>
    <w:rsid w:val="005F6114"/>
    <w:rsid w:val="006025DA"/>
    <w:rsid w:val="00606315"/>
    <w:rsid w:val="00606469"/>
    <w:rsid w:val="00607394"/>
    <w:rsid w:val="00615BDA"/>
    <w:rsid w:val="006163FC"/>
    <w:rsid w:val="00622851"/>
    <w:rsid w:val="0062387F"/>
    <w:rsid w:val="00624341"/>
    <w:rsid w:val="00624E57"/>
    <w:rsid w:val="0062637E"/>
    <w:rsid w:val="0063073C"/>
    <w:rsid w:val="00637538"/>
    <w:rsid w:val="0064079A"/>
    <w:rsid w:val="00640AE3"/>
    <w:rsid w:val="00641215"/>
    <w:rsid w:val="00641BFA"/>
    <w:rsid w:val="0064481F"/>
    <w:rsid w:val="00644A04"/>
    <w:rsid w:val="00644C88"/>
    <w:rsid w:val="00646AE3"/>
    <w:rsid w:val="00646E44"/>
    <w:rsid w:val="0064797E"/>
    <w:rsid w:val="00652612"/>
    <w:rsid w:val="00655CDA"/>
    <w:rsid w:val="00656079"/>
    <w:rsid w:val="0065618E"/>
    <w:rsid w:val="00657012"/>
    <w:rsid w:val="00657359"/>
    <w:rsid w:val="0066001D"/>
    <w:rsid w:val="006631DC"/>
    <w:rsid w:val="0066412B"/>
    <w:rsid w:val="00666E59"/>
    <w:rsid w:val="00667B87"/>
    <w:rsid w:val="006718B9"/>
    <w:rsid w:val="006724AE"/>
    <w:rsid w:val="00674740"/>
    <w:rsid w:val="00677371"/>
    <w:rsid w:val="006809ED"/>
    <w:rsid w:val="00682F24"/>
    <w:rsid w:val="0068300B"/>
    <w:rsid w:val="006856EA"/>
    <w:rsid w:val="00685836"/>
    <w:rsid w:val="0068675E"/>
    <w:rsid w:val="00692458"/>
    <w:rsid w:val="006A07DF"/>
    <w:rsid w:val="006A2E01"/>
    <w:rsid w:val="006B2F83"/>
    <w:rsid w:val="006B6DA3"/>
    <w:rsid w:val="006B6F29"/>
    <w:rsid w:val="006C5060"/>
    <w:rsid w:val="006C50CF"/>
    <w:rsid w:val="006C7F21"/>
    <w:rsid w:val="006D0EC9"/>
    <w:rsid w:val="006D1702"/>
    <w:rsid w:val="006D28AD"/>
    <w:rsid w:val="006D2A4C"/>
    <w:rsid w:val="006D47AC"/>
    <w:rsid w:val="006E44D2"/>
    <w:rsid w:val="006E658B"/>
    <w:rsid w:val="006E77E1"/>
    <w:rsid w:val="006F167B"/>
    <w:rsid w:val="006F18A5"/>
    <w:rsid w:val="006F1CC2"/>
    <w:rsid w:val="007003C3"/>
    <w:rsid w:val="00701D68"/>
    <w:rsid w:val="0070231C"/>
    <w:rsid w:val="0070300D"/>
    <w:rsid w:val="00707306"/>
    <w:rsid w:val="007102D1"/>
    <w:rsid w:val="0071596F"/>
    <w:rsid w:val="00717F87"/>
    <w:rsid w:val="0072318A"/>
    <w:rsid w:val="007231D7"/>
    <w:rsid w:val="00727221"/>
    <w:rsid w:val="00727EF0"/>
    <w:rsid w:val="00731AA9"/>
    <w:rsid w:val="007425FD"/>
    <w:rsid w:val="007426B0"/>
    <w:rsid w:val="00747AE2"/>
    <w:rsid w:val="00750B57"/>
    <w:rsid w:val="00753FF8"/>
    <w:rsid w:val="00754E22"/>
    <w:rsid w:val="007576F5"/>
    <w:rsid w:val="0077651A"/>
    <w:rsid w:val="00782446"/>
    <w:rsid w:val="007852F8"/>
    <w:rsid w:val="00785D6C"/>
    <w:rsid w:val="00791FA8"/>
    <w:rsid w:val="007A1A0B"/>
    <w:rsid w:val="007A2274"/>
    <w:rsid w:val="007A3084"/>
    <w:rsid w:val="007A4EC6"/>
    <w:rsid w:val="007B7E53"/>
    <w:rsid w:val="007C7299"/>
    <w:rsid w:val="007C7C2F"/>
    <w:rsid w:val="007C7E7E"/>
    <w:rsid w:val="007D267D"/>
    <w:rsid w:val="007D2A74"/>
    <w:rsid w:val="007D6CAC"/>
    <w:rsid w:val="007D782D"/>
    <w:rsid w:val="007E263F"/>
    <w:rsid w:val="007E664A"/>
    <w:rsid w:val="007E6788"/>
    <w:rsid w:val="007E7F69"/>
    <w:rsid w:val="007F0AE6"/>
    <w:rsid w:val="007F1C84"/>
    <w:rsid w:val="007F3140"/>
    <w:rsid w:val="007F3151"/>
    <w:rsid w:val="007F35A7"/>
    <w:rsid w:val="007F4C86"/>
    <w:rsid w:val="00800B18"/>
    <w:rsid w:val="00810497"/>
    <w:rsid w:val="008133E4"/>
    <w:rsid w:val="00821602"/>
    <w:rsid w:val="00822CF6"/>
    <w:rsid w:val="0082556D"/>
    <w:rsid w:val="00827290"/>
    <w:rsid w:val="00827AE4"/>
    <w:rsid w:val="00831B02"/>
    <w:rsid w:val="00845F3E"/>
    <w:rsid w:val="00847698"/>
    <w:rsid w:val="00850D8B"/>
    <w:rsid w:val="00850E01"/>
    <w:rsid w:val="00853E75"/>
    <w:rsid w:val="008543CA"/>
    <w:rsid w:val="0085514B"/>
    <w:rsid w:val="0086040E"/>
    <w:rsid w:val="008615B4"/>
    <w:rsid w:val="00873DD2"/>
    <w:rsid w:val="00876028"/>
    <w:rsid w:val="00882A38"/>
    <w:rsid w:val="008934FE"/>
    <w:rsid w:val="00894581"/>
    <w:rsid w:val="00894E69"/>
    <w:rsid w:val="00896DDE"/>
    <w:rsid w:val="008A2682"/>
    <w:rsid w:val="008B0689"/>
    <w:rsid w:val="008B0F61"/>
    <w:rsid w:val="008B2844"/>
    <w:rsid w:val="008B4DE6"/>
    <w:rsid w:val="008B58D4"/>
    <w:rsid w:val="008C704C"/>
    <w:rsid w:val="008D23B0"/>
    <w:rsid w:val="008D3790"/>
    <w:rsid w:val="008D41A6"/>
    <w:rsid w:val="008D486A"/>
    <w:rsid w:val="008E3008"/>
    <w:rsid w:val="008E30D6"/>
    <w:rsid w:val="008E4B90"/>
    <w:rsid w:val="008F3955"/>
    <w:rsid w:val="008F42AB"/>
    <w:rsid w:val="008F49CA"/>
    <w:rsid w:val="008F63A0"/>
    <w:rsid w:val="009023F1"/>
    <w:rsid w:val="00906C4D"/>
    <w:rsid w:val="00910C50"/>
    <w:rsid w:val="00912112"/>
    <w:rsid w:val="00912F7C"/>
    <w:rsid w:val="009140A2"/>
    <w:rsid w:val="00916801"/>
    <w:rsid w:val="00916FB6"/>
    <w:rsid w:val="00924864"/>
    <w:rsid w:val="00924C9F"/>
    <w:rsid w:val="009309C9"/>
    <w:rsid w:val="00930E29"/>
    <w:rsid w:val="009335FF"/>
    <w:rsid w:val="0093729F"/>
    <w:rsid w:val="009441CC"/>
    <w:rsid w:val="00951C0A"/>
    <w:rsid w:val="009551D8"/>
    <w:rsid w:val="00955B9C"/>
    <w:rsid w:val="009571D2"/>
    <w:rsid w:val="00966EA3"/>
    <w:rsid w:val="00970A4C"/>
    <w:rsid w:val="00971BDF"/>
    <w:rsid w:val="00972464"/>
    <w:rsid w:val="00977801"/>
    <w:rsid w:val="009829EF"/>
    <w:rsid w:val="009839AA"/>
    <w:rsid w:val="0099711C"/>
    <w:rsid w:val="009B1E69"/>
    <w:rsid w:val="009B4053"/>
    <w:rsid w:val="009B4374"/>
    <w:rsid w:val="009B4AE0"/>
    <w:rsid w:val="009B4B1B"/>
    <w:rsid w:val="009C236E"/>
    <w:rsid w:val="009C32C1"/>
    <w:rsid w:val="009C37AD"/>
    <w:rsid w:val="009C70D2"/>
    <w:rsid w:val="009E2B91"/>
    <w:rsid w:val="009E60C7"/>
    <w:rsid w:val="009E7900"/>
    <w:rsid w:val="009E7B3C"/>
    <w:rsid w:val="009F1F4F"/>
    <w:rsid w:val="009F26C7"/>
    <w:rsid w:val="00A0046A"/>
    <w:rsid w:val="00A00915"/>
    <w:rsid w:val="00A02818"/>
    <w:rsid w:val="00A03F9C"/>
    <w:rsid w:val="00A042F4"/>
    <w:rsid w:val="00A04F30"/>
    <w:rsid w:val="00A078E0"/>
    <w:rsid w:val="00A147B0"/>
    <w:rsid w:val="00A17D74"/>
    <w:rsid w:val="00A22D62"/>
    <w:rsid w:val="00A255DA"/>
    <w:rsid w:val="00A26C84"/>
    <w:rsid w:val="00A308F4"/>
    <w:rsid w:val="00A32392"/>
    <w:rsid w:val="00A336D3"/>
    <w:rsid w:val="00A355C0"/>
    <w:rsid w:val="00A36503"/>
    <w:rsid w:val="00A36D4F"/>
    <w:rsid w:val="00A3780D"/>
    <w:rsid w:val="00A420B9"/>
    <w:rsid w:val="00A50B47"/>
    <w:rsid w:val="00A523F0"/>
    <w:rsid w:val="00A531DA"/>
    <w:rsid w:val="00A62AEA"/>
    <w:rsid w:val="00A71B54"/>
    <w:rsid w:val="00A73474"/>
    <w:rsid w:val="00A73964"/>
    <w:rsid w:val="00A7426F"/>
    <w:rsid w:val="00A75B5D"/>
    <w:rsid w:val="00A82828"/>
    <w:rsid w:val="00A84741"/>
    <w:rsid w:val="00A860FC"/>
    <w:rsid w:val="00A8731B"/>
    <w:rsid w:val="00A877C4"/>
    <w:rsid w:val="00A90A50"/>
    <w:rsid w:val="00A91D4B"/>
    <w:rsid w:val="00AA308B"/>
    <w:rsid w:val="00AA4D2F"/>
    <w:rsid w:val="00AA5BC3"/>
    <w:rsid w:val="00AA7373"/>
    <w:rsid w:val="00AC0BEF"/>
    <w:rsid w:val="00AC26D3"/>
    <w:rsid w:val="00AC47BC"/>
    <w:rsid w:val="00AD42B5"/>
    <w:rsid w:val="00AE13E7"/>
    <w:rsid w:val="00AE3CB2"/>
    <w:rsid w:val="00AE65CF"/>
    <w:rsid w:val="00AF0297"/>
    <w:rsid w:val="00AF0418"/>
    <w:rsid w:val="00AF0F29"/>
    <w:rsid w:val="00AF3F1B"/>
    <w:rsid w:val="00AF4925"/>
    <w:rsid w:val="00B00628"/>
    <w:rsid w:val="00B00D50"/>
    <w:rsid w:val="00B02E06"/>
    <w:rsid w:val="00B03C28"/>
    <w:rsid w:val="00B12C93"/>
    <w:rsid w:val="00B20D0D"/>
    <w:rsid w:val="00B2230D"/>
    <w:rsid w:val="00B23102"/>
    <w:rsid w:val="00B3459C"/>
    <w:rsid w:val="00B46B64"/>
    <w:rsid w:val="00B51991"/>
    <w:rsid w:val="00B55BD9"/>
    <w:rsid w:val="00B57133"/>
    <w:rsid w:val="00B61A7F"/>
    <w:rsid w:val="00B63CBB"/>
    <w:rsid w:val="00B65693"/>
    <w:rsid w:val="00B719E4"/>
    <w:rsid w:val="00B73754"/>
    <w:rsid w:val="00B76767"/>
    <w:rsid w:val="00B772BE"/>
    <w:rsid w:val="00B8077C"/>
    <w:rsid w:val="00B81404"/>
    <w:rsid w:val="00B87529"/>
    <w:rsid w:val="00B87935"/>
    <w:rsid w:val="00B87BFA"/>
    <w:rsid w:val="00B924FD"/>
    <w:rsid w:val="00B930FC"/>
    <w:rsid w:val="00BA06E5"/>
    <w:rsid w:val="00BA4FA1"/>
    <w:rsid w:val="00BA5D28"/>
    <w:rsid w:val="00BA5F45"/>
    <w:rsid w:val="00BA6547"/>
    <w:rsid w:val="00BA6600"/>
    <w:rsid w:val="00BC1801"/>
    <w:rsid w:val="00BC4719"/>
    <w:rsid w:val="00BD0DA6"/>
    <w:rsid w:val="00BD1071"/>
    <w:rsid w:val="00BD131E"/>
    <w:rsid w:val="00BD3DEE"/>
    <w:rsid w:val="00BD4AC1"/>
    <w:rsid w:val="00BD65BF"/>
    <w:rsid w:val="00BD6FFC"/>
    <w:rsid w:val="00BE1255"/>
    <w:rsid w:val="00BE4424"/>
    <w:rsid w:val="00BE44F7"/>
    <w:rsid w:val="00BF0EEF"/>
    <w:rsid w:val="00C0052A"/>
    <w:rsid w:val="00C0642E"/>
    <w:rsid w:val="00C07C4E"/>
    <w:rsid w:val="00C07E2C"/>
    <w:rsid w:val="00C1071B"/>
    <w:rsid w:val="00C16F41"/>
    <w:rsid w:val="00C21178"/>
    <w:rsid w:val="00C21D52"/>
    <w:rsid w:val="00C21D6A"/>
    <w:rsid w:val="00C23623"/>
    <w:rsid w:val="00C24F62"/>
    <w:rsid w:val="00C25365"/>
    <w:rsid w:val="00C266AE"/>
    <w:rsid w:val="00C348CA"/>
    <w:rsid w:val="00C371A2"/>
    <w:rsid w:val="00C403EB"/>
    <w:rsid w:val="00C43218"/>
    <w:rsid w:val="00C51DF4"/>
    <w:rsid w:val="00C52B74"/>
    <w:rsid w:val="00C57961"/>
    <w:rsid w:val="00C60264"/>
    <w:rsid w:val="00C6187D"/>
    <w:rsid w:val="00C63016"/>
    <w:rsid w:val="00C6335D"/>
    <w:rsid w:val="00C6613A"/>
    <w:rsid w:val="00C73BE2"/>
    <w:rsid w:val="00C75987"/>
    <w:rsid w:val="00C75DEE"/>
    <w:rsid w:val="00C865E3"/>
    <w:rsid w:val="00C91F55"/>
    <w:rsid w:val="00C91FFC"/>
    <w:rsid w:val="00C9356A"/>
    <w:rsid w:val="00CA4200"/>
    <w:rsid w:val="00CA6221"/>
    <w:rsid w:val="00CA6B43"/>
    <w:rsid w:val="00CB4DD7"/>
    <w:rsid w:val="00CB6861"/>
    <w:rsid w:val="00CC38E7"/>
    <w:rsid w:val="00CC5711"/>
    <w:rsid w:val="00CD2BD9"/>
    <w:rsid w:val="00CE17C8"/>
    <w:rsid w:val="00CF45D5"/>
    <w:rsid w:val="00D0106F"/>
    <w:rsid w:val="00D04671"/>
    <w:rsid w:val="00D052BF"/>
    <w:rsid w:val="00D0698A"/>
    <w:rsid w:val="00D132B2"/>
    <w:rsid w:val="00D20A89"/>
    <w:rsid w:val="00D338FB"/>
    <w:rsid w:val="00D33A4A"/>
    <w:rsid w:val="00D33E5D"/>
    <w:rsid w:val="00D34291"/>
    <w:rsid w:val="00D34FEA"/>
    <w:rsid w:val="00D50F7D"/>
    <w:rsid w:val="00D52619"/>
    <w:rsid w:val="00D52913"/>
    <w:rsid w:val="00D53B20"/>
    <w:rsid w:val="00D56C5B"/>
    <w:rsid w:val="00D736D4"/>
    <w:rsid w:val="00D763E3"/>
    <w:rsid w:val="00D818C1"/>
    <w:rsid w:val="00D849F0"/>
    <w:rsid w:val="00D850B7"/>
    <w:rsid w:val="00D86286"/>
    <w:rsid w:val="00D90CA8"/>
    <w:rsid w:val="00D9160C"/>
    <w:rsid w:val="00D97054"/>
    <w:rsid w:val="00DA277E"/>
    <w:rsid w:val="00DA3935"/>
    <w:rsid w:val="00DB03F2"/>
    <w:rsid w:val="00DB054B"/>
    <w:rsid w:val="00DB4B3B"/>
    <w:rsid w:val="00DB5810"/>
    <w:rsid w:val="00DB794E"/>
    <w:rsid w:val="00DB7966"/>
    <w:rsid w:val="00DC3D47"/>
    <w:rsid w:val="00DC50D5"/>
    <w:rsid w:val="00DC7B19"/>
    <w:rsid w:val="00DD21F8"/>
    <w:rsid w:val="00DD6468"/>
    <w:rsid w:val="00DD6ED3"/>
    <w:rsid w:val="00DD7007"/>
    <w:rsid w:val="00DE1E47"/>
    <w:rsid w:val="00DE2AE3"/>
    <w:rsid w:val="00DE3DB0"/>
    <w:rsid w:val="00DE57E2"/>
    <w:rsid w:val="00DE580A"/>
    <w:rsid w:val="00DE654C"/>
    <w:rsid w:val="00DF015C"/>
    <w:rsid w:val="00DF121F"/>
    <w:rsid w:val="00DF5330"/>
    <w:rsid w:val="00E01412"/>
    <w:rsid w:val="00E02AE1"/>
    <w:rsid w:val="00E0521C"/>
    <w:rsid w:val="00E10841"/>
    <w:rsid w:val="00E1508E"/>
    <w:rsid w:val="00E16828"/>
    <w:rsid w:val="00E25230"/>
    <w:rsid w:val="00E26F33"/>
    <w:rsid w:val="00E33D3B"/>
    <w:rsid w:val="00E35F22"/>
    <w:rsid w:val="00E37745"/>
    <w:rsid w:val="00E4440C"/>
    <w:rsid w:val="00E47516"/>
    <w:rsid w:val="00E52F15"/>
    <w:rsid w:val="00E5493E"/>
    <w:rsid w:val="00E560DB"/>
    <w:rsid w:val="00E57AE9"/>
    <w:rsid w:val="00E60CF5"/>
    <w:rsid w:val="00E64F6C"/>
    <w:rsid w:val="00E67EA0"/>
    <w:rsid w:val="00E716E5"/>
    <w:rsid w:val="00E730F5"/>
    <w:rsid w:val="00E75A10"/>
    <w:rsid w:val="00E81BC7"/>
    <w:rsid w:val="00E82CA2"/>
    <w:rsid w:val="00E82EB0"/>
    <w:rsid w:val="00E86CCD"/>
    <w:rsid w:val="00E87B3B"/>
    <w:rsid w:val="00E9152A"/>
    <w:rsid w:val="00E94179"/>
    <w:rsid w:val="00E94D09"/>
    <w:rsid w:val="00E9724C"/>
    <w:rsid w:val="00EA2FDB"/>
    <w:rsid w:val="00EA6900"/>
    <w:rsid w:val="00EA69B6"/>
    <w:rsid w:val="00EB0CA5"/>
    <w:rsid w:val="00EB2900"/>
    <w:rsid w:val="00EB2A17"/>
    <w:rsid w:val="00EB7D1C"/>
    <w:rsid w:val="00EC7545"/>
    <w:rsid w:val="00EE0B67"/>
    <w:rsid w:val="00EE150B"/>
    <w:rsid w:val="00EE2F99"/>
    <w:rsid w:val="00EE4943"/>
    <w:rsid w:val="00EE55EE"/>
    <w:rsid w:val="00EE6168"/>
    <w:rsid w:val="00EE698E"/>
    <w:rsid w:val="00EF2BCB"/>
    <w:rsid w:val="00EF32B3"/>
    <w:rsid w:val="00EF3C37"/>
    <w:rsid w:val="00EF427A"/>
    <w:rsid w:val="00EF668E"/>
    <w:rsid w:val="00EF7E4A"/>
    <w:rsid w:val="00F0102C"/>
    <w:rsid w:val="00F016CB"/>
    <w:rsid w:val="00F06050"/>
    <w:rsid w:val="00F0684F"/>
    <w:rsid w:val="00F07821"/>
    <w:rsid w:val="00F138A5"/>
    <w:rsid w:val="00F14C8C"/>
    <w:rsid w:val="00F15CA6"/>
    <w:rsid w:val="00F15EF5"/>
    <w:rsid w:val="00F162BC"/>
    <w:rsid w:val="00F20225"/>
    <w:rsid w:val="00F21687"/>
    <w:rsid w:val="00F233CB"/>
    <w:rsid w:val="00F2346E"/>
    <w:rsid w:val="00F37387"/>
    <w:rsid w:val="00F377EA"/>
    <w:rsid w:val="00F41303"/>
    <w:rsid w:val="00F438FB"/>
    <w:rsid w:val="00F50555"/>
    <w:rsid w:val="00F50E6F"/>
    <w:rsid w:val="00F561FF"/>
    <w:rsid w:val="00F57E44"/>
    <w:rsid w:val="00F6164F"/>
    <w:rsid w:val="00F62145"/>
    <w:rsid w:val="00F62B08"/>
    <w:rsid w:val="00F633BE"/>
    <w:rsid w:val="00F649C7"/>
    <w:rsid w:val="00F713FD"/>
    <w:rsid w:val="00F73AED"/>
    <w:rsid w:val="00F7585C"/>
    <w:rsid w:val="00F75BBC"/>
    <w:rsid w:val="00F802DF"/>
    <w:rsid w:val="00F83F04"/>
    <w:rsid w:val="00F84A15"/>
    <w:rsid w:val="00F84DD1"/>
    <w:rsid w:val="00F8662F"/>
    <w:rsid w:val="00F916E0"/>
    <w:rsid w:val="00F936EF"/>
    <w:rsid w:val="00F9475C"/>
    <w:rsid w:val="00F96C80"/>
    <w:rsid w:val="00FA00ED"/>
    <w:rsid w:val="00FA0B0E"/>
    <w:rsid w:val="00FA4528"/>
    <w:rsid w:val="00FB06DA"/>
    <w:rsid w:val="00FB5473"/>
    <w:rsid w:val="00FC1E4B"/>
    <w:rsid w:val="00FD1341"/>
    <w:rsid w:val="00FD16A9"/>
    <w:rsid w:val="00FD7D38"/>
    <w:rsid w:val="00FE0F15"/>
    <w:rsid w:val="00FE28BD"/>
    <w:rsid w:val="00FE2C6C"/>
    <w:rsid w:val="00FE762C"/>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DB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NormalWeb">
    <w:name w:val="Normal (Web)"/>
    <w:basedOn w:val="Normal"/>
    <w:uiPriority w:val="99"/>
    <w:unhideWhenUsed/>
    <w:rsid w:val="00EA69B6"/>
    <w:pPr>
      <w:spacing w:before="100" w:beforeAutospacing="1" w:after="100" w:afterAutospacing="1"/>
    </w:pPr>
    <w:rPr>
      <w:rFonts w:ascii="Times New Roman" w:hAnsi="Times New Roman"/>
      <w:noProof w:val="0"/>
      <w:szCs w:val="24"/>
    </w:rPr>
  </w:style>
  <w:style w:type="paragraph" w:styleId="ListParagraph">
    <w:name w:val="List Paragraph"/>
    <w:basedOn w:val="Normal"/>
    <w:uiPriority w:val="34"/>
    <w:qFormat/>
    <w:rsid w:val="00EA69B6"/>
    <w:pPr>
      <w:ind w:left="720"/>
      <w:contextualSpacing/>
    </w:pPr>
    <w:rPr>
      <w:rFonts w:asciiTheme="minorHAnsi" w:eastAsiaTheme="minorEastAsia" w:hAnsiTheme="minorHAnsi" w:cstheme="minorBidi"/>
      <w:noProof w:val="0"/>
      <w:szCs w:val="24"/>
    </w:rPr>
  </w:style>
  <w:style w:type="paragraph" w:customStyle="1" w:styleId="Default">
    <w:name w:val="Default"/>
    <w:rsid w:val="008D486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2974">
      <w:bodyDiv w:val="1"/>
      <w:marLeft w:val="0"/>
      <w:marRight w:val="0"/>
      <w:marTop w:val="0"/>
      <w:marBottom w:val="0"/>
      <w:divBdr>
        <w:top w:val="none" w:sz="0" w:space="0" w:color="auto"/>
        <w:left w:val="none" w:sz="0" w:space="0" w:color="auto"/>
        <w:bottom w:val="none" w:sz="0" w:space="0" w:color="auto"/>
        <w:right w:val="none" w:sz="0" w:space="0" w:color="auto"/>
      </w:divBdr>
    </w:div>
    <w:div w:id="297760435">
      <w:bodyDiv w:val="1"/>
      <w:marLeft w:val="0"/>
      <w:marRight w:val="0"/>
      <w:marTop w:val="0"/>
      <w:marBottom w:val="0"/>
      <w:divBdr>
        <w:top w:val="none" w:sz="0" w:space="0" w:color="auto"/>
        <w:left w:val="none" w:sz="0" w:space="0" w:color="auto"/>
        <w:bottom w:val="none" w:sz="0" w:space="0" w:color="auto"/>
        <w:right w:val="none" w:sz="0" w:space="0" w:color="auto"/>
      </w:divBdr>
    </w:div>
    <w:div w:id="352659009">
      <w:bodyDiv w:val="1"/>
      <w:marLeft w:val="0"/>
      <w:marRight w:val="0"/>
      <w:marTop w:val="0"/>
      <w:marBottom w:val="0"/>
      <w:divBdr>
        <w:top w:val="none" w:sz="0" w:space="0" w:color="auto"/>
        <w:left w:val="none" w:sz="0" w:space="0" w:color="auto"/>
        <w:bottom w:val="none" w:sz="0" w:space="0" w:color="auto"/>
        <w:right w:val="none" w:sz="0" w:space="0" w:color="auto"/>
      </w:divBdr>
    </w:div>
    <w:div w:id="440953874">
      <w:bodyDiv w:val="1"/>
      <w:marLeft w:val="0"/>
      <w:marRight w:val="0"/>
      <w:marTop w:val="0"/>
      <w:marBottom w:val="0"/>
      <w:divBdr>
        <w:top w:val="none" w:sz="0" w:space="0" w:color="auto"/>
        <w:left w:val="none" w:sz="0" w:space="0" w:color="auto"/>
        <w:bottom w:val="none" w:sz="0" w:space="0" w:color="auto"/>
        <w:right w:val="none" w:sz="0" w:space="0" w:color="auto"/>
      </w:divBdr>
    </w:div>
    <w:div w:id="1014843746">
      <w:bodyDiv w:val="1"/>
      <w:marLeft w:val="0"/>
      <w:marRight w:val="0"/>
      <w:marTop w:val="0"/>
      <w:marBottom w:val="0"/>
      <w:divBdr>
        <w:top w:val="none" w:sz="0" w:space="0" w:color="auto"/>
        <w:left w:val="none" w:sz="0" w:space="0" w:color="auto"/>
        <w:bottom w:val="none" w:sz="0" w:space="0" w:color="auto"/>
        <w:right w:val="none" w:sz="0" w:space="0" w:color="auto"/>
      </w:divBdr>
      <w:divsChild>
        <w:div w:id="1896237726">
          <w:marLeft w:val="0"/>
          <w:marRight w:val="0"/>
          <w:marTop w:val="0"/>
          <w:marBottom w:val="0"/>
          <w:divBdr>
            <w:top w:val="none" w:sz="0" w:space="0" w:color="auto"/>
            <w:left w:val="none" w:sz="0" w:space="0" w:color="auto"/>
            <w:bottom w:val="none" w:sz="0" w:space="0" w:color="auto"/>
            <w:right w:val="none" w:sz="0" w:space="0" w:color="auto"/>
          </w:divBdr>
          <w:divsChild>
            <w:div w:id="1342852208">
              <w:marLeft w:val="0"/>
              <w:marRight w:val="0"/>
              <w:marTop w:val="0"/>
              <w:marBottom w:val="0"/>
              <w:divBdr>
                <w:top w:val="none" w:sz="0" w:space="0" w:color="auto"/>
                <w:left w:val="none" w:sz="0" w:space="0" w:color="auto"/>
                <w:bottom w:val="none" w:sz="0" w:space="0" w:color="auto"/>
                <w:right w:val="none" w:sz="0" w:space="0" w:color="auto"/>
              </w:divBdr>
              <w:divsChild>
                <w:div w:id="1793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2976">
      <w:bodyDiv w:val="1"/>
      <w:marLeft w:val="0"/>
      <w:marRight w:val="0"/>
      <w:marTop w:val="0"/>
      <w:marBottom w:val="0"/>
      <w:divBdr>
        <w:top w:val="none" w:sz="0" w:space="0" w:color="auto"/>
        <w:left w:val="none" w:sz="0" w:space="0" w:color="auto"/>
        <w:bottom w:val="none" w:sz="0" w:space="0" w:color="auto"/>
        <w:right w:val="none" w:sz="0" w:space="0" w:color="auto"/>
      </w:divBdr>
      <w:divsChild>
        <w:div w:id="558977953">
          <w:marLeft w:val="0"/>
          <w:marRight w:val="0"/>
          <w:marTop w:val="0"/>
          <w:marBottom w:val="0"/>
          <w:divBdr>
            <w:top w:val="none" w:sz="0" w:space="0" w:color="auto"/>
            <w:left w:val="none" w:sz="0" w:space="0" w:color="auto"/>
            <w:bottom w:val="none" w:sz="0" w:space="0" w:color="auto"/>
            <w:right w:val="none" w:sz="0" w:space="0" w:color="auto"/>
          </w:divBdr>
        </w:div>
        <w:div w:id="1487286496">
          <w:marLeft w:val="0"/>
          <w:marRight w:val="0"/>
          <w:marTop w:val="0"/>
          <w:marBottom w:val="0"/>
          <w:divBdr>
            <w:top w:val="none" w:sz="0" w:space="0" w:color="auto"/>
            <w:left w:val="none" w:sz="0" w:space="0" w:color="auto"/>
            <w:bottom w:val="none" w:sz="0" w:space="0" w:color="auto"/>
            <w:right w:val="none" w:sz="0" w:space="0" w:color="auto"/>
          </w:divBdr>
        </w:div>
        <w:div w:id="1970891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tlcenter.org/content/gtl-overview" TargetMode="External"/><Relationship Id="rId12" Type="http://schemas.openxmlformats.org/officeDocument/2006/relationships/hyperlink" Target="https://www2.ed.gov/policy/speced/guid/idea/memosdcltrs/guidance-on-fape-11-17-2015.pdf" TargetMode="External"/><Relationship Id="rId13" Type="http://schemas.openxmlformats.org/officeDocument/2006/relationships/hyperlink" Target="https://osepideasthatwork.org/osep-meeting/increasing-capacity-developing-high-quality-iepsifsps" TargetMode="External"/><Relationship Id="rId14" Type="http://schemas.openxmlformats.org/officeDocument/2006/relationships/hyperlink" Target="https://osepideasthatwork.org/" TargetMode="External"/><Relationship Id="rId15" Type="http://schemas.openxmlformats.org/officeDocument/2006/relationships/hyperlink" Target="https://sites.ed.gov/idea"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ris.peabody.vanderbilt.edu" TargetMode="External"/><Relationship Id="rId9" Type="http://schemas.openxmlformats.org/officeDocument/2006/relationships/hyperlink" Target="https://www.parentcenterhub.org/" TargetMode="External"/><Relationship Id="rId10" Type="http://schemas.openxmlformats.org/officeDocument/2006/relationships/hyperlink" Target="http://ceedar.education.ufl.edu/wp-content/uploads/2016/10/Teacher-Shortages-Policy-and-Practice-Portra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2DA7A-7934-944A-9E51-D66E5D27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10</Pages>
  <Words>3346</Words>
  <Characters>19073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22375</CharactersWithSpaces>
  <SharedDoc>false</SharedDoc>
  <HLinks>
    <vt:vector size="12" baseType="variant">
      <vt:variant>
        <vt:i4>4653105</vt:i4>
      </vt:variant>
      <vt:variant>
        <vt:i4>3</vt:i4>
      </vt:variant>
      <vt:variant>
        <vt:i4>0</vt:i4>
      </vt:variant>
      <vt:variant>
        <vt:i4>5</vt:i4>
      </vt:variant>
      <vt:variant>
        <vt:lpwstr>http://www.ldahawaii.org/</vt:lpwstr>
      </vt:variant>
      <vt:variant>
        <vt:lpwstr/>
      </vt:variant>
      <vt:variant>
        <vt:i4>7143540</vt:i4>
      </vt:variant>
      <vt:variant>
        <vt:i4>0</vt:i4>
      </vt:variant>
      <vt:variant>
        <vt:i4>0</vt:i4>
      </vt:variant>
      <vt:variant>
        <vt:i4>5</vt:i4>
      </vt:variant>
      <vt:variant>
        <vt:lpwstr>http://www.hawaiipublicschools.org/DOE Forms/CSSS/RestraintsSeclusions.pdf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12</cp:revision>
  <cp:lastPrinted>2019-02-05T22:53:00Z</cp:lastPrinted>
  <dcterms:created xsi:type="dcterms:W3CDTF">2019-01-25T03:15:00Z</dcterms:created>
  <dcterms:modified xsi:type="dcterms:W3CDTF">2019-02-09T04:21:00Z</dcterms:modified>
</cp:coreProperties>
</file>