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484A27" w14:textId="77777777" w:rsidR="0000175A" w:rsidRDefault="0000175A" w:rsidP="00A420B9">
      <w:pPr>
        <w:pStyle w:val="Title"/>
        <w:spacing w:line="240" w:lineRule="exact"/>
        <w:outlineLvl w:val="0"/>
      </w:pPr>
      <w:r>
        <w:t>SPECIAL EDUCATION ADVISORY COUNCIL</w:t>
      </w:r>
    </w:p>
    <w:p w14:paraId="5951A4CA" w14:textId="59BFB88D" w:rsidR="0000175A" w:rsidRDefault="0000175A">
      <w:pPr>
        <w:pStyle w:val="Subtitle"/>
        <w:spacing w:line="240" w:lineRule="exact"/>
        <w:outlineLvl w:val="0"/>
      </w:pPr>
      <w:r>
        <w:t xml:space="preserve">Minutes – </w:t>
      </w:r>
      <w:r w:rsidR="00F15DD5">
        <w:t>February 8, 2019</w:t>
      </w:r>
    </w:p>
    <w:p w14:paraId="2C2BC582" w14:textId="77777777" w:rsidR="0000175A" w:rsidRDefault="0000175A">
      <w:pPr>
        <w:widowControl w:val="0"/>
        <w:spacing w:line="240" w:lineRule="exact"/>
        <w:jc w:val="center"/>
        <w:outlineLvl w:val="0"/>
      </w:pPr>
      <w:r>
        <w:t xml:space="preserve">9:00 a.m. – </w:t>
      </w:r>
      <w:r w:rsidR="008B2844">
        <w:t>12:00</w:t>
      </w:r>
      <w:r>
        <w:t xml:space="preserve"> p.m.</w:t>
      </w:r>
    </w:p>
    <w:p w14:paraId="2644C3D3" w14:textId="77777777" w:rsidR="0000175A" w:rsidRDefault="0000175A">
      <w:pPr>
        <w:widowControl w:val="0"/>
        <w:spacing w:line="240" w:lineRule="exact"/>
        <w:jc w:val="center"/>
        <w:outlineLvl w:val="0"/>
      </w:pPr>
    </w:p>
    <w:p w14:paraId="7237E416" w14:textId="4037518C" w:rsidR="00FD16A9" w:rsidRDefault="0000175A" w:rsidP="00FD16A9">
      <w:pPr>
        <w:widowControl w:val="0"/>
        <w:spacing w:line="240" w:lineRule="exact"/>
        <w:ind w:right="360"/>
      </w:pPr>
      <w:r>
        <w:rPr>
          <w:b/>
        </w:rPr>
        <w:t>PRESENT:</w:t>
      </w:r>
      <w:r>
        <w:t xml:space="preserve"> </w:t>
      </w:r>
      <w:r w:rsidR="00A355C0">
        <w:t>Brendelyn Ancheta</w:t>
      </w:r>
      <w:r w:rsidR="00A355C0">
        <w:rPr>
          <w:b/>
        </w:rPr>
        <w:t xml:space="preserve">, </w:t>
      </w:r>
      <w:r w:rsidR="00117E6F" w:rsidRPr="00117E6F">
        <w:t>Virginia Beringer,</w:t>
      </w:r>
      <w:r w:rsidR="00117E6F">
        <w:rPr>
          <w:b/>
        </w:rPr>
        <w:t xml:space="preserve"> </w:t>
      </w:r>
      <w:r w:rsidR="00FD16A9">
        <w:t xml:space="preserve">Annette Cooper, </w:t>
      </w:r>
      <w:r w:rsidR="00F37387">
        <w:t xml:space="preserve">Motu Finau, Sage Goto, </w:t>
      </w:r>
      <w:r>
        <w:t xml:space="preserve">Martha Guinan, </w:t>
      </w:r>
      <w:r w:rsidR="00541FEA" w:rsidRPr="00541FEA">
        <w:rPr>
          <w:color w:val="000000"/>
          <w:szCs w:val="24"/>
        </w:rPr>
        <w:t>Scott Hashimoto (for Kurt Humphrey)</w:t>
      </w:r>
      <w:r w:rsidR="00541FEA">
        <w:rPr>
          <w:color w:val="000000"/>
          <w:szCs w:val="24"/>
        </w:rPr>
        <w:t xml:space="preserve">, </w:t>
      </w:r>
      <w:r w:rsidR="006B6DA3">
        <w:rPr>
          <w:color w:val="000000"/>
          <w:szCs w:val="24"/>
        </w:rPr>
        <w:t xml:space="preserve">Lindsay Heller, </w:t>
      </w:r>
      <w:r w:rsidR="00FF5CB6">
        <w:t xml:space="preserve">Amanda Kaahanui (staff), </w:t>
      </w:r>
      <w:r w:rsidR="00FD16A9">
        <w:t xml:space="preserve">Tina King, </w:t>
      </w:r>
      <w:r w:rsidR="001D1FEA">
        <w:t xml:space="preserve">Bernadette Lane, </w:t>
      </w:r>
      <w:r w:rsidR="00800B18">
        <w:t xml:space="preserve">Dale Matsuura, </w:t>
      </w:r>
      <w:r w:rsidR="00F37387">
        <w:t xml:space="preserve">Kaili Murbach, </w:t>
      </w:r>
      <w:r w:rsidR="00FD16A9">
        <w:t>Kau</w:t>
      </w:r>
      <w:r w:rsidR="00381DF2">
        <w:t>‘</w:t>
      </w:r>
      <w:r w:rsidR="00FD16A9">
        <w:t xml:space="preserve">i Rezentes, </w:t>
      </w:r>
      <w:r>
        <w:t>Susan Rocco</w:t>
      </w:r>
      <w:r w:rsidR="00FF5CB6">
        <w:t xml:space="preserve"> (staff)</w:t>
      </w:r>
      <w:r w:rsidR="00AF3F1B">
        <w:t xml:space="preserve">, </w:t>
      </w:r>
      <w:r w:rsidR="000E3149">
        <w:t xml:space="preserve">Rosie Rowe, </w:t>
      </w:r>
      <w:r w:rsidR="00BD6581">
        <w:t xml:space="preserve">Drew Saranillio (liaison to the Superintendent), </w:t>
      </w:r>
      <w:r w:rsidR="00800B18">
        <w:t xml:space="preserve">Tricia Sheehey, </w:t>
      </w:r>
      <w:r w:rsidR="00381DF2">
        <w:t xml:space="preserve">Ivalee Sinclair, </w:t>
      </w:r>
      <w:r w:rsidR="00F37387">
        <w:t>Francis Taele</w:t>
      </w:r>
      <w:r w:rsidR="00FF5CB6">
        <w:t xml:space="preserve">, </w:t>
      </w:r>
      <w:r w:rsidR="00FD16A9">
        <w:t xml:space="preserve">Steven Vannatta, </w:t>
      </w:r>
      <w:r w:rsidR="0076466E">
        <w:t xml:space="preserve">Jasmine Williams, </w:t>
      </w:r>
      <w:r w:rsidR="00FD16A9">
        <w:t>Susan Wood</w:t>
      </w:r>
    </w:p>
    <w:p w14:paraId="5FC3B530" w14:textId="66BF6CE0" w:rsidR="00193A2F" w:rsidRDefault="0000175A">
      <w:pPr>
        <w:widowControl w:val="0"/>
        <w:spacing w:line="240" w:lineRule="exact"/>
        <w:ind w:right="360"/>
      </w:pPr>
      <w:r>
        <w:rPr>
          <w:b/>
        </w:rPr>
        <w:t>EXCUSED</w:t>
      </w:r>
      <w:r>
        <w:t xml:space="preserve">: </w:t>
      </w:r>
      <w:r w:rsidR="0076466E">
        <w:t>Debbie Cheeseman,</w:t>
      </w:r>
      <w:r w:rsidR="0076466E">
        <w:rPr>
          <w:b/>
        </w:rPr>
        <w:t xml:space="preserve"> </w:t>
      </w:r>
      <w:r w:rsidR="001D1FEA">
        <w:t xml:space="preserve">Cathy Kahoohanohano, </w:t>
      </w:r>
      <w:r w:rsidR="00D8586C">
        <w:t xml:space="preserve">Stacy Oshio, </w:t>
      </w:r>
      <w:r w:rsidR="0076466E">
        <w:t>Carrie Pisciotto</w:t>
      </w:r>
      <w:r w:rsidR="0076466E">
        <w:rPr>
          <w:color w:val="000000"/>
          <w:szCs w:val="24"/>
        </w:rPr>
        <w:t>,</w:t>
      </w:r>
      <w:r w:rsidR="0076466E">
        <w:t xml:space="preserve"> James Street</w:t>
      </w:r>
    </w:p>
    <w:p w14:paraId="2DE073BC" w14:textId="7F1E2E5D" w:rsidR="006B6DA3" w:rsidRDefault="006B6DA3">
      <w:pPr>
        <w:widowControl w:val="0"/>
        <w:spacing w:line="240" w:lineRule="exact"/>
        <w:ind w:right="360"/>
      </w:pPr>
      <w:r w:rsidRPr="006D47AC">
        <w:rPr>
          <w:b/>
        </w:rPr>
        <w:t>ABSENT</w:t>
      </w:r>
      <w:r>
        <w:t xml:space="preserve">: </w:t>
      </w:r>
      <w:r w:rsidR="001D1FEA" w:rsidRPr="006B6DA3">
        <w:t>Bob Campbell,</w:t>
      </w:r>
      <w:r w:rsidR="001D1FEA">
        <w:rPr>
          <w:b/>
        </w:rPr>
        <w:t xml:space="preserve"> </w:t>
      </w:r>
      <w:r w:rsidR="001D1FEA">
        <w:t>Amy Wiech</w:t>
      </w:r>
    </w:p>
    <w:p w14:paraId="720AD544" w14:textId="18C5B4AC" w:rsidR="00FF5CB6" w:rsidRDefault="0000175A">
      <w:pPr>
        <w:widowControl w:val="0"/>
        <w:spacing w:line="240" w:lineRule="exact"/>
        <w:ind w:right="360"/>
      </w:pPr>
      <w:r>
        <w:rPr>
          <w:b/>
        </w:rPr>
        <w:t>GUESTS</w:t>
      </w:r>
      <w:r w:rsidR="00087792">
        <w:t xml:space="preserve">: </w:t>
      </w:r>
      <w:r w:rsidR="00117E6F">
        <w:t>Kevin Bardsle</w:t>
      </w:r>
      <w:r w:rsidR="00FD16A9">
        <w:t>y</w:t>
      </w:r>
      <w:r w:rsidR="00117E6F">
        <w:t xml:space="preserve">-Marcial, </w:t>
      </w:r>
      <w:r w:rsidR="000E3149">
        <w:t>Amy Kunz. David Royer</w:t>
      </w:r>
      <w:r w:rsidR="001D1FEA">
        <w:t>, Alice Yang</w:t>
      </w:r>
    </w:p>
    <w:p w14:paraId="24A481F3" w14:textId="77777777" w:rsidR="00526304" w:rsidRDefault="00526304">
      <w:pPr>
        <w:widowControl w:val="0"/>
        <w:spacing w:line="240" w:lineRule="exact"/>
        <w:ind w:right="360"/>
      </w:pPr>
    </w:p>
    <w:tbl>
      <w:tblPr>
        <w:tblW w:w="13220" w:type="dxa"/>
        <w:tblLayout w:type="fixed"/>
        <w:tblCellMar>
          <w:left w:w="80" w:type="dxa"/>
          <w:right w:w="80" w:type="dxa"/>
        </w:tblCellMar>
        <w:tblLook w:val="0000" w:firstRow="0" w:lastRow="0" w:firstColumn="0" w:lastColumn="0" w:noHBand="0" w:noVBand="0"/>
      </w:tblPr>
      <w:tblGrid>
        <w:gridCol w:w="2780"/>
        <w:gridCol w:w="7470"/>
        <w:gridCol w:w="2970"/>
      </w:tblGrid>
      <w:tr w:rsidR="0000175A" w14:paraId="352933EA" w14:textId="77777777" w:rsidTr="00B719E4">
        <w:tc>
          <w:tcPr>
            <w:tcW w:w="2780" w:type="dxa"/>
            <w:tcBorders>
              <w:top w:val="single" w:sz="6" w:space="0" w:color="auto"/>
              <w:left w:val="single" w:sz="6" w:space="0" w:color="auto"/>
              <w:bottom w:val="single" w:sz="6" w:space="0" w:color="auto"/>
              <w:right w:val="single" w:sz="6" w:space="0" w:color="auto"/>
            </w:tcBorders>
          </w:tcPr>
          <w:p w14:paraId="5619FEA6" w14:textId="77777777" w:rsidR="0000175A" w:rsidRDefault="0000175A">
            <w:pPr>
              <w:widowControl w:val="0"/>
              <w:spacing w:line="240" w:lineRule="exact"/>
              <w:jc w:val="center"/>
              <w:rPr>
                <w:b/>
              </w:rPr>
            </w:pPr>
            <w:r>
              <w:rPr>
                <w:b/>
              </w:rPr>
              <w:t>TOPIC</w:t>
            </w:r>
          </w:p>
        </w:tc>
        <w:tc>
          <w:tcPr>
            <w:tcW w:w="7470" w:type="dxa"/>
            <w:tcBorders>
              <w:top w:val="single" w:sz="6" w:space="0" w:color="auto"/>
              <w:left w:val="single" w:sz="6" w:space="0" w:color="auto"/>
              <w:bottom w:val="single" w:sz="6" w:space="0" w:color="auto"/>
              <w:right w:val="single" w:sz="6" w:space="0" w:color="auto"/>
            </w:tcBorders>
          </w:tcPr>
          <w:p w14:paraId="3E4B0910" w14:textId="77777777" w:rsidR="0000175A" w:rsidRDefault="0000175A">
            <w:pPr>
              <w:jc w:val="center"/>
              <w:rPr>
                <w:b/>
              </w:rPr>
            </w:pPr>
            <w:r>
              <w:rPr>
                <w:b/>
              </w:rPr>
              <w:t>DISCUSSION</w:t>
            </w:r>
          </w:p>
        </w:tc>
        <w:tc>
          <w:tcPr>
            <w:tcW w:w="2970" w:type="dxa"/>
            <w:tcBorders>
              <w:top w:val="single" w:sz="6" w:space="0" w:color="auto"/>
              <w:left w:val="single" w:sz="6" w:space="0" w:color="auto"/>
              <w:bottom w:val="single" w:sz="6" w:space="0" w:color="auto"/>
              <w:right w:val="single" w:sz="6" w:space="0" w:color="auto"/>
            </w:tcBorders>
          </w:tcPr>
          <w:p w14:paraId="5FA76DB9" w14:textId="77777777" w:rsidR="0000175A" w:rsidRDefault="0000175A">
            <w:pPr>
              <w:jc w:val="center"/>
              <w:rPr>
                <w:b/>
              </w:rPr>
            </w:pPr>
            <w:r>
              <w:rPr>
                <w:b/>
              </w:rPr>
              <w:t>ACTION</w:t>
            </w:r>
          </w:p>
        </w:tc>
      </w:tr>
      <w:tr w:rsidR="0000175A" w14:paraId="77226E3C" w14:textId="77777777" w:rsidTr="00B719E4">
        <w:tc>
          <w:tcPr>
            <w:tcW w:w="2780" w:type="dxa"/>
            <w:tcBorders>
              <w:top w:val="single" w:sz="6" w:space="0" w:color="auto"/>
              <w:left w:val="single" w:sz="6" w:space="0" w:color="auto"/>
              <w:bottom w:val="single" w:sz="6" w:space="0" w:color="auto"/>
              <w:right w:val="single" w:sz="6" w:space="0" w:color="auto"/>
            </w:tcBorders>
          </w:tcPr>
          <w:p w14:paraId="08B96C75" w14:textId="5698314D" w:rsidR="0000175A" w:rsidRDefault="0000175A">
            <w:pPr>
              <w:widowControl w:val="0"/>
              <w:spacing w:line="240" w:lineRule="exact"/>
              <w:rPr>
                <w:b/>
              </w:rPr>
            </w:pPr>
            <w:r>
              <w:rPr>
                <w:b/>
              </w:rPr>
              <w:t>Call to Order</w:t>
            </w:r>
            <w:r w:rsidR="002104F0">
              <w:rPr>
                <w:b/>
              </w:rPr>
              <w:t>/Welcome</w:t>
            </w:r>
          </w:p>
        </w:tc>
        <w:tc>
          <w:tcPr>
            <w:tcW w:w="7470" w:type="dxa"/>
            <w:tcBorders>
              <w:top w:val="single" w:sz="6" w:space="0" w:color="auto"/>
              <w:left w:val="single" w:sz="6" w:space="0" w:color="auto"/>
              <w:bottom w:val="single" w:sz="6" w:space="0" w:color="auto"/>
              <w:right w:val="single" w:sz="6" w:space="0" w:color="auto"/>
            </w:tcBorders>
          </w:tcPr>
          <w:p w14:paraId="4C826CD1" w14:textId="74048F5D" w:rsidR="0000175A" w:rsidRDefault="0000175A" w:rsidP="00435847">
            <w:r>
              <w:t>Chair Martha Guinan called the meeting to order at 9:</w:t>
            </w:r>
            <w:r w:rsidR="00BD6581">
              <w:t>14</w:t>
            </w:r>
            <w:r>
              <w:t xml:space="preserve"> a.m.</w:t>
            </w:r>
          </w:p>
        </w:tc>
        <w:tc>
          <w:tcPr>
            <w:tcW w:w="2970" w:type="dxa"/>
            <w:tcBorders>
              <w:top w:val="single" w:sz="6" w:space="0" w:color="auto"/>
              <w:left w:val="single" w:sz="6" w:space="0" w:color="auto"/>
              <w:bottom w:val="single" w:sz="6" w:space="0" w:color="auto"/>
              <w:right w:val="single" w:sz="6" w:space="0" w:color="auto"/>
            </w:tcBorders>
          </w:tcPr>
          <w:p w14:paraId="42955D20" w14:textId="77777777" w:rsidR="0000175A" w:rsidRDefault="0000175A"/>
        </w:tc>
      </w:tr>
      <w:tr w:rsidR="00A32392" w14:paraId="1D4ACF95" w14:textId="77777777" w:rsidTr="0000652C">
        <w:tc>
          <w:tcPr>
            <w:tcW w:w="2780" w:type="dxa"/>
            <w:tcBorders>
              <w:top w:val="single" w:sz="6" w:space="0" w:color="auto"/>
              <w:left w:val="single" w:sz="6" w:space="0" w:color="auto"/>
              <w:bottom w:val="single" w:sz="6" w:space="0" w:color="auto"/>
              <w:right w:val="single" w:sz="6" w:space="0" w:color="auto"/>
            </w:tcBorders>
          </w:tcPr>
          <w:p w14:paraId="1CCDAC2E" w14:textId="36B054DF" w:rsidR="00BD6581" w:rsidRDefault="00BD6581" w:rsidP="00BD6581">
            <w:pPr>
              <w:widowControl w:val="0"/>
              <w:rPr>
                <w:b/>
              </w:rPr>
            </w:pPr>
            <w:r>
              <w:rPr>
                <w:b/>
              </w:rPr>
              <w:t>New Liaison to the Superintendent</w:t>
            </w:r>
          </w:p>
        </w:tc>
        <w:tc>
          <w:tcPr>
            <w:tcW w:w="7470" w:type="dxa"/>
            <w:tcBorders>
              <w:top w:val="single" w:sz="6" w:space="0" w:color="auto"/>
              <w:left w:val="single" w:sz="6" w:space="0" w:color="auto"/>
              <w:bottom w:val="single" w:sz="6" w:space="0" w:color="auto"/>
              <w:right w:val="single" w:sz="6" w:space="0" w:color="auto"/>
            </w:tcBorders>
          </w:tcPr>
          <w:p w14:paraId="25D5291C" w14:textId="156CC0F8" w:rsidR="00A32392" w:rsidRDefault="00BD6581" w:rsidP="00BD6581">
            <w:r>
              <w:t xml:space="preserve">Drew Saranillio from the Monitoring and Compliance Branch shared with members that he will be SEAC’s new liaison to the Superintendent.  Christina Tydeman has left the Department to work with McRel. </w:t>
            </w:r>
          </w:p>
        </w:tc>
        <w:tc>
          <w:tcPr>
            <w:tcW w:w="2970" w:type="dxa"/>
            <w:tcBorders>
              <w:top w:val="single" w:sz="6" w:space="0" w:color="auto"/>
              <w:left w:val="single" w:sz="6" w:space="0" w:color="auto"/>
              <w:bottom w:val="single" w:sz="6" w:space="0" w:color="auto"/>
              <w:right w:val="single" w:sz="6" w:space="0" w:color="auto"/>
            </w:tcBorders>
          </w:tcPr>
          <w:p w14:paraId="7D96CD31" w14:textId="72D74F25" w:rsidR="00A32392" w:rsidRDefault="00A32392" w:rsidP="0000652C"/>
        </w:tc>
      </w:tr>
      <w:tr w:rsidR="00AF0297" w14:paraId="65470946" w14:textId="77777777" w:rsidTr="00B65693">
        <w:tc>
          <w:tcPr>
            <w:tcW w:w="2780" w:type="dxa"/>
            <w:tcBorders>
              <w:top w:val="single" w:sz="6" w:space="0" w:color="auto"/>
              <w:left w:val="single" w:sz="6" w:space="0" w:color="auto"/>
              <w:bottom w:val="single" w:sz="6" w:space="0" w:color="auto"/>
              <w:right w:val="single" w:sz="6" w:space="0" w:color="auto"/>
            </w:tcBorders>
          </w:tcPr>
          <w:p w14:paraId="559D8E8C" w14:textId="709094C4" w:rsidR="00AF0297" w:rsidRDefault="00BD6581" w:rsidP="000E3149">
            <w:pPr>
              <w:widowControl w:val="0"/>
              <w:tabs>
                <w:tab w:val="left" w:pos="990"/>
              </w:tabs>
              <w:rPr>
                <w:b/>
              </w:rPr>
            </w:pPr>
            <w:r>
              <w:rPr>
                <w:b/>
              </w:rPr>
              <w:t xml:space="preserve">Review of </w:t>
            </w:r>
            <w:r w:rsidR="004F0103">
              <w:rPr>
                <w:b/>
              </w:rPr>
              <w:t xml:space="preserve">SY 17-18 </w:t>
            </w:r>
            <w:r>
              <w:rPr>
                <w:b/>
              </w:rPr>
              <w:t>APR Indicator Results – Part 2</w:t>
            </w:r>
          </w:p>
        </w:tc>
        <w:tc>
          <w:tcPr>
            <w:tcW w:w="7470" w:type="dxa"/>
            <w:tcBorders>
              <w:top w:val="single" w:sz="6" w:space="0" w:color="auto"/>
              <w:left w:val="single" w:sz="6" w:space="0" w:color="auto"/>
              <w:bottom w:val="single" w:sz="6" w:space="0" w:color="auto"/>
              <w:right w:val="single" w:sz="6" w:space="0" w:color="auto"/>
            </w:tcBorders>
          </w:tcPr>
          <w:p w14:paraId="39EEFBE3" w14:textId="3D77585C" w:rsidR="00EA69B6" w:rsidRDefault="00BD6581" w:rsidP="00C43218">
            <w:r>
              <w:t xml:space="preserve">Drew provided results </w:t>
            </w:r>
            <w:r w:rsidR="00550B18">
              <w:t>and invited discussion on</w:t>
            </w:r>
            <w:r>
              <w:t xml:space="preserve"> the remaining </w:t>
            </w:r>
            <w:r w:rsidR="00550B18">
              <w:t xml:space="preserve">Annual Performance Report </w:t>
            </w:r>
            <w:r>
              <w:t xml:space="preserve">indicators </w:t>
            </w:r>
            <w:r w:rsidR="00550B18">
              <w:t xml:space="preserve">from the 17-18 </w:t>
            </w:r>
            <w:r w:rsidR="004F0103">
              <w:t>school year:</w:t>
            </w:r>
            <w:r>
              <w:t xml:space="preserve"> </w:t>
            </w:r>
          </w:p>
          <w:p w14:paraId="0EF3CEEC" w14:textId="7D8B3E63" w:rsidR="00BD6581" w:rsidRPr="00550B18" w:rsidRDefault="00BD6581" w:rsidP="00C43218">
            <w:pPr>
              <w:rPr>
                <w:u w:val="single"/>
              </w:rPr>
            </w:pPr>
            <w:r w:rsidRPr="00550B18">
              <w:rPr>
                <w:u w:val="single"/>
              </w:rPr>
              <w:t>Indicator 4</w:t>
            </w:r>
            <w:r w:rsidR="00550B18">
              <w:rPr>
                <w:u w:val="single"/>
              </w:rPr>
              <w:t xml:space="preserve"> </w:t>
            </w:r>
            <w:r w:rsidRPr="00550B18">
              <w:rPr>
                <w:u w:val="single"/>
              </w:rPr>
              <w:t>-</w:t>
            </w:r>
            <w:r w:rsidR="00550B18">
              <w:rPr>
                <w:u w:val="single"/>
              </w:rPr>
              <w:t xml:space="preserve"> </w:t>
            </w:r>
            <w:r w:rsidRPr="00550B18">
              <w:rPr>
                <w:u w:val="single"/>
              </w:rPr>
              <w:t>Suspensions/Expulsions</w:t>
            </w:r>
          </w:p>
          <w:p w14:paraId="5B8008DF" w14:textId="62974B48" w:rsidR="00BD6581" w:rsidRDefault="00550B18" w:rsidP="00550B18">
            <w:r>
              <w:t>There were no significant d</w:t>
            </w:r>
            <w:r w:rsidR="006D0AF4">
              <w:t>i</w:t>
            </w:r>
            <w:r>
              <w:t>screpancies in the rate of suspensions for more than 10 days in a school year of students with disabilities compared to students without disabilities, and there were no significant discrepancies by race or ethnicity within suspensions of the special education population.</w:t>
            </w:r>
          </w:p>
          <w:p w14:paraId="61E56708" w14:textId="77777777" w:rsidR="00550B18" w:rsidRDefault="00550B18" w:rsidP="00550B18">
            <w:pPr>
              <w:rPr>
                <w:u w:val="single"/>
              </w:rPr>
            </w:pPr>
            <w:r w:rsidRPr="00550B18">
              <w:rPr>
                <w:u w:val="single"/>
              </w:rPr>
              <w:t>Indicator 6 – Preschool Outcomes</w:t>
            </w:r>
          </w:p>
          <w:p w14:paraId="3B54B1B0" w14:textId="37D56296" w:rsidR="00550B18" w:rsidRDefault="00550B18" w:rsidP="0054425D">
            <w:r>
              <w:t>The targets were not met for the three main outcomes: 1) positive social-emotional skills, 2) acquisition and use of knowledge and skills, and 3)</w:t>
            </w:r>
            <w:r w:rsidR="0054425D">
              <w:t xml:space="preserve"> use of appropriate b</w:t>
            </w:r>
            <w:r w:rsidR="0076466E">
              <w:t xml:space="preserve">ehaviors to meet their needs.  </w:t>
            </w:r>
            <w:r w:rsidR="0054425D">
              <w:t>Lower results in Hawaii and elsewhere are attributed to a change in the Teaching Strategies Gold instrument used to measure outcomes.</w:t>
            </w:r>
          </w:p>
          <w:p w14:paraId="6EB0D79E" w14:textId="77777777" w:rsidR="0054425D" w:rsidRDefault="0054425D" w:rsidP="0054425D">
            <w:pPr>
              <w:rPr>
                <w:u w:val="single"/>
              </w:rPr>
            </w:pPr>
            <w:r>
              <w:rPr>
                <w:u w:val="single"/>
              </w:rPr>
              <w:t>Indicator 12 – Early Childhood Transition</w:t>
            </w:r>
          </w:p>
          <w:p w14:paraId="59C67321" w14:textId="77777777" w:rsidR="0054425D" w:rsidRDefault="0054425D" w:rsidP="0054425D">
            <w:r>
              <w:t>The percentage of children transitioning to DOE special education preschool services by their third birthday improved by 2% from the previous year to nearly 95%.</w:t>
            </w:r>
          </w:p>
          <w:p w14:paraId="31D0513F" w14:textId="77777777" w:rsidR="0054425D" w:rsidRPr="0054425D" w:rsidRDefault="0054425D" w:rsidP="0054425D">
            <w:pPr>
              <w:rPr>
                <w:u w:val="single"/>
              </w:rPr>
            </w:pPr>
            <w:r w:rsidRPr="0054425D">
              <w:rPr>
                <w:u w:val="single"/>
              </w:rPr>
              <w:t>Indicator 13 – Secondary Transition</w:t>
            </w:r>
          </w:p>
          <w:p w14:paraId="32A9F6EF" w14:textId="278F7951" w:rsidR="00F70471" w:rsidRPr="00F70471" w:rsidRDefault="00820DB1" w:rsidP="00F70471">
            <w:r>
              <w:t xml:space="preserve">Fewer students (64.6%) aged 16 and older had the required components for secondary transition documented in their IEPs compared to the previous </w:t>
            </w:r>
            <w:r>
              <w:lastRenderedPageBreak/>
              <w:t xml:space="preserve">year (74.1%).  The three main areas of slippage were a lack of evidence </w:t>
            </w:r>
          </w:p>
        </w:tc>
        <w:tc>
          <w:tcPr>
            <w:tcW w:w="2970" w:type="dxa"/>
            <w:tcBorders>
              <w:top w:val="single" w:sz="6" w:space="0" w:color="auto"/>
              <w:left w:val="single" w:sz="6" w:space="0" w:color="auto"/>
              <w:bottom w:val="single" w:sz="6" w:space="0" w:color="auto"/>
              <w:right w:val="single" w:sz="6" w:space="0" w:color="auto"/>
            </w:tcBorders>
          </w:tcPr>
          <w:p w14:paraId="44FE27BB" w14:textId="73B0D783" w:rsidR="00A042F4" w:rsidRDefault="00A042F4" w:rsidP="003A398A">
            <w:pPr>
              <w:pStyle w:val="Header"/>
              <w:tabs>
                <w:tab w:val="clear" w:pos="4320"/>
                <w:tab w:val="clear" w:pos="8640"/>
              </w:tabs>
            </w:pPr>
          </w:p>
        </w:tc>
      </w:tr>
    </w:tbl>
    <w:p w14:paraId="009D60DA" w14:textId="77777777" w:rsidR="0000175A" w:rsidRDefault="0000175A">
      <w:r>
        <w:lastRenderedPageBreak/>
        <w:t>SEAC Minutes</w:t>
      </w:r>
    </w:p>
    <w:p w14:paraId="3618AB1B" w14:textId="77777777" w:rsidR="005363EA" w:rsidRDefault="005363EA" w:rsidP="005363EA">
      <w:r>
        <w:t>February 8, 2019</w:t>
      </w:r>
    </w:p>
    <w:p w14:paraId="0222DCDE" w14:textId="77777777" w:rsidR="0000175A" w:rsidRDefault="0000175A">
      <w:r>
        <w:t xml:space="preserve">Page </w:t>
      </w:r>
      <w:r w:rsidR="009C70D2">
        <w:t>2</w:t>
      </w:r>
    </w:p>
    <w:p w14:paraId="0E7FEC55" w14:textId="77777777" w:rsidR="0000175A" w:rsidRPr="00A531DA" w:rsidRDefault="0000175A">
      <w:pPr>
        <w:rPr>
          <w:sz w:val="16"/>
          <w:szCs w:val="16"/>
        </w:rPr>
      </w:pPr>
    </w:p>
    <w:tbl>
      <w:tblPr>
        <w:tblW w:w="13220" w:type="dxa"/>
        <w:tblLayout w:type="fixed"/>
        <w:tblCellMar>
          <w:left w:w="80" w:type="dxa"/>
          <w:right w:w="80" w:type="dxa"/>
        </w:tblCellMar>
        <w:tblLook w:val="0000" w:firstRow="0" w:lastRow="0" w:firstColumn="0" w:lastColumn="0" w:noHBand="0" w:noVBand="0"/>
      </w:tblPr>
      <w:tblGrid>
        <w:gridCol w:w="2780"/>
        <w:gridCol w:w="7470"/>
        <w:gridCol w:w="2970"/>
      </w:tblGrid>
      <w:tr w:rsidR="0000175A" w14:paraId="205F0005" w14:textId="77777777" w:rsidTr="00B719E4">
        <w:tc>
          <w:tcPr>
            <w:tcW w:w="2780" w:type="dxa"/>
            <w:tcBorders>
              <w:top w:val="single" w:sz="6" w:space="0" w:color="auto"/>
              <w:left w:val="single" w:sz="6" w:space="0" w:color="auto"/>
              <w:bottom w:val="single" w:sz="6" w:space="0" w:color="auto"/>
              <w:right w:val="single" w:sz="6" w:space="0" w:color="auto"/>
            </w:tcBorders>
          </w:tcPr>
          <w:p w14:paraId="5C9A3323" w14:textId="4B947EDC" w:rsidR="00155589" w:rsidRDefault="004F0103" w:rsidP="00644A04">
            <w:pPr>
              <w:widowControl w:val="0"/>
              <w:rPr>
                <w:b/>
              </w:rPr>
            </w:pPr>
            <w:r>
              <w:rPr>
                <w:b/>
              </w:rPr>
              <w:t>Review of SY 17-18 APR Indicator Results – Part 2</w:t>
            </w:r>
          </w:p>
        </w:tc>
        <w:tc>
          <w:tcPr>
            <w:tcW w:w="7470" w:type="dxa"/>
            <w:tcBorders>
              <w:top w:val="single" w:sz="6" w:space="0" w:color="auto"/>
              <w:left w:val="single" w:sz="6" w:space="0" w:color="auto"/>
              <w:bottom w:val="single" w:sz="6" w:space="0" w:color="auto"/>
              <w:right w:val="single" w:sz="6" w:space="0" w:color="auto"/>
            </w:tcBorders>
          </w:tcPr>
          <w:p w14:paraId="67D9F8BB" w14:textId="0D24A162" w:rsidR="000E3149" w:rsidRPr="0054425D" w:rsidRDefault="000E3149" w:rsidP="000E3149">
            <w:pPr>
              <w:rPr>
                <w:u w:val="single"/>
              </w:rPr>
            </w:pPr>
            <w:r w:rsidRPr="0054425D">
              <w:rPr>
                <w:u w:val="single"/>
              </w:rPr>
              <w:t>Indicator 13 – Secondary Transition</w:t>
            </w:r>
            <w:r>
              <w:rPr>
                <w:u w:val="single"/>
              </w:rPr>
              <w:t xml:space="preserve"> (cont.)</w:t>
            </w:r>
          </w:p>
          <w:p w14:paraId="1BE20026" w14:textId="77777777" w:rsidR="000E3149" w:rsidRDefault="000E3149" w:rsidP="000E3149">
            <w:r>
              <w:t xml:space="preserve">regarding updating postsecondary goals annually, inviting the student to the IEP meeting to discuss transition, and having goals based on age-appropriate assessments.  </w:t>
            </w:r>
          </w:p>
          <w:p w14:paraId="482C7790" w14:textId="77777777" w:rsidR="000E3149" w:rsidRPr="00820DB1" w:rsidRDefault="000E3149" w:rsidP="000E3149">
            <w:pPr>
              <w:rPr>
                <w:u w:val="single"/>
              </w:rPr>
            </w:pPr>
            <w:r w:rsidRPr="00820DB1">
              <w:rPr>
                <w:u w:val="single"/>
              </w:rPr>
              <w:t>Indicator 14 – Postsecondary Outcomes</w:t>
            </w:r>
          </w:p>
          <w:p w14:paraId="6CF3AD45" w14:textId="77777777" w:rsidR="000E3149" w:rsidRDefault="000E3149" w:rsidP="000E3149">
            <w:r>
              <w:t>Slightly fewer students were enrolled in higher education within one year of leaving high school in SY 17-18; however the target for the indicator was met.</w:t>
            </w:r>
          </w:p>
          <w:p w14:paraId="5B4B27BA" w14:textId="77777777" w:rsidR="000E3149" w:rsidRDefault="000E3149" w:rsidP="000E3149">
            <w:r w:rsidRPr="005669DE">
              <w:rPr>
                <w:u w:val="single"/>
              </w:rPr>
              <w:t>Questions and comments from members and guests</w:t>
            </w:r>
            <w:r>
              <w:t>:</w:t>
            </w:r>
          </w:p>
          <w:p w14:paraId="6D3FE78E" w14:textId="77777777" w:rsidR="000E3149" w:rsidRPr="00F70471" w:rsidRDefault="000E3149" w:rsidP="000E3149">
            <w:pPr>
              <w:rPr>
                <w:b/>
              </w:rPr>
            </w:pPr>
            <w:r w:rsidRPr="00F70471">
              <w:rPr>
                <w:b/>
              </w:rPr>
              <w:t>Re: secondary transition</w:t>
            </w:r>
          </w:p>
          <w:p w14:paraId="47A31C62" w14:textId="77777777" w:rsidR="000E3149" w:rsidRDefault="000E3149" w:rsidP="000E3149">
            <w:r>
              <w:t>Q. How do you determine that a school is noncompliant in documenting transition components?  A.  Random student files are selected and compared against the eight requirements for transition planning.</w:t>
            </w:r>
          </w:p>
          <w:p w14:paraId="5784C7B9" w14:textId="77777777" w:rsidR="000E3149" w:rsidRDefault="000E3149" w:rsidP="000E3149">
            <w:r>
              <w:t>C. Christina Tydeman asked SEAC for ideas last year on how to improve compliance on the three problematic transition components.  We came up with some workable solutions—like adding fields to eCSSS to remind the team to invite the student and consider age-appropriate assessments.  Q. Do you know what happened to those suggestions?  A.  No, but it may be that the Department did not want to go through the expense of enhancing eCSSS as it will be sunsetting soon.</w:t>
            </w:r>
          </w:p>
          <w:p w14:paraId="1BEEE22B" w14:textId="77777777" w:rsidR="000E3149" w:rsidRDefault="000E3149" w:rsidP="000E3149">
            <w:r>
              <w:t>C. We also brought up those ideas in the Special Education Task Force.</w:t>
            </w:r>
          </w:p>
          <w:p w14:paraId="36675CEB" w14:textId="1033E2A5" w:rsidR="000E3149" w:rsidRDefault="000E3149" w:rsidP="000E3149">
            <w:r>
              <w:t>Q.  Does you</w:t>
            </w:r>
            <w:r w:rsidR="0076466E">
              <w:t>r</w:t>
            </w:r>
            <w:r>
              <w:t xml:space="preserve"> data include adults under 22 in the correction system?  We have a significant number of inmates with disabilities.  A. No.</w:t>
            </w:r>
          </w:p>
          <w:p w14:paraId="36648048" w14:textId="2D11E7AC" w:rsidR="000E3149" w:rsidRDefault="000E3149" w:rsidP="000E3149">
            <w:r>
              <w:t>Q. Wouldn’t the complexes reflect those incarcerated students</w:t>
            </w:r>
            <w:r w:rsidR="0076466E">
              <w:t>,</w:t>
            </w:r>
            <w:r>
              <w:t xml:space="preserve"> if they are receiving DOE special education services?  A. I’ll che</w:t>
            </w:r>
            <w:r w:rsidR="0076466E">
              <w:t>c</w:t>
            </w:r>
            <w:r>
              <w:t>k into it.</w:t>
            </w:r>
          </w:p>
          <w:p w14:paraId="489A2CFD" w14:textId="77777777" w:rsidR="000E3149" w:rsidRDefault="000E3149" w:rsidP="000E3149">
            <w:pPr>
              <w:rPr>
                <w:b/>
              </w:rPr>
            </w:pPr>
            <w:r w:rsidRPr="00F70471">
              <w:rPr>
                <w:b/>
              </w:rPr>
              <w:t xml:space="preserve">Re: postsecondary outcomes </w:t>
            </w:r>
          </w:p>
          <w:p w14:paraId="5DBCAFCA" w14:textId="77777777" w:rsidR="000E3149" w:rsidRDefault="000E3149" w:rsidP="000E3149">
            <w:r w:rsidRPr="00F70471">
              <w:t xml:space="preserve">Q. </w:t>
            </w:r>
            <w:r>
              <w:t>What is the standard for determining participation in higher education?  Is it just enrollment, or completion of a milestone, like one semester?  C.  Students with disabilities are much likelier to not complete college.</w:t>
            </w:r>
          </w:p>
          <w:p w14:paraId="2AB0B5F8" w14:textId="77777777" w:rsidR="000E3149" w:rsidRDefault="000E3149" w:rsidP="000E3149">
            <w:r>
              <w:t>Q. If you have a student who 4140s out of school, is there follow-up with a survey?  A.  Not to my knowledge.</w:t>
            </w:r>
          </w:p>
          <w:p w14:paraId="12F5E3B3" w14:textId="5841BFE9" w:rsidR="00EC7545" w:rsidRPr="00250B3A" w:rsidRDefault="000E3149" w:rsidP="000E3149">
            <w:r>
              <w:lastRenderedPageBreak/>
              <w:t>C. It would be helpful to know what happens to those students.</w:t>
            </w:r>
          </w:p>
        </w:tc>
        <w:tc>
          <w:tcPr>
            <w:tcW w:w="2970" w:type="dxa"/>
            <w:tcBorders>
              <w:top w:val="single" w:sz="6" w:space="0" w:color="auto"/>
              <w:left w:val="single" w:sz="6" w:space="0" w:color="auto"/>
              <w:bottom w:val="single" w:sz="6" w:space="0" w:color="auto"/>
              <w:right w:val="single" w:sz="6" w:space="0" w:color="auto"/>
            </w:tcBorders>
          </w:tcPr>
          <w:p w14:paraId="7E2D067E" w14:textId="1B7B6AC3" w:rsidR="00B924FD" w:rsidRDefault="00B924FD" w:rsidP="00A32392"/>
        </w:tc>
      </w:tr>
    </w:tbl>
    <w:p w14:paraId="3AF97CD7" w14:textId="77777777" w:rsidR="004F0103" w:rsidRDefault="004F0103"/>
    <w:p w14:paraId="5CABFF5E" w14:textId="77777777" w:rsidR="0000175A" w:rsidRDefault="0000175A">
      <w:r>
        <w:t>SEAC Minutes</w:t>
      </w:r>
    </w:p>
    <w:p w14:paraId="12FAAF02" w14:textId="77777777" w:rsidR="005363EA" w:rsidRDefault="005363EA" w:rsidP="005363EA">
      <w:r>
        <w:t>February 8, 2019</w:t>
      </w:r>
    </w:p>
    <w:p w14:paraId="7658BC53" w14:textId="77777777" w:rsidR="00DE3DB0" w:rsidRDefault="0000175A">
      <w:r>
        <w:t xml:space="preserve">Page </w:t>
      </w:r>
      <w:r w:rsidR="009C70D2">
        <w:t>3</w:t>
      </w:r>
    </w:p>
    <w:p w14:paraId="687F0EAF" w14:textId="77777777" w:rsidR="00B23102" w:rsidRDefault="00B23102"/>
    <w:tbl>
      <w:tblPr>
        <w:tblW w:w="13220" w:type="dxa"/>
        <w:tblLayout w:type="fixed"/>
        <w:tblCellMar>
          <w:left w:w="80" w:type="dxa"/>
          <w:right w:w="80" w:type="dxa"/>
        </w:tblCellMar>
        <w:tblLook w:val="0000" w:firstRow="0" w:lastRow="0" w:firstColumn="0" w:lastColumn="0" w:noHBand="0" w:noVBand="0"/>
      </w:tblPr>
      <w:tblGrid>
        <w:gridCol w:w="2780"/>
        <w:gridCol w:w="7472"/>
        <w:gridCol w:w="2968"/>
      </w:tblGrid>
      <w:tr w:rsidR="00BF6350" w14:paraId="7C04DE37" w14:textId="77777777" w:rsidTr="00472972">
        <w:tc>
          <w:tcPr>
            <w:tcW w:w="2780" w:type="dxa"/>
            <w:tcBorders>
              <w:top w:val="single" w:sz="6" w:space="0" w:color="auto"/>
              <w:left w:val="single" w:sz="6" w:space="0" w:color="auto"/>
              <w:bottom w:val="single" w:sz="6" w:space="0" w:color="auto"/>
              <w:right w:val="single" w:sz="6" w:space="0" w:color="auto"/>
            </w:tcBorders>
          </w:tcPr>
          <w:p w14:paraId="4E16058B" w14:textId="61CDE3F5" w:rsidR="00BF6350" w:rsidRDefault="00BF6350" w:rsidP="006C7F21">
            <w:pPr>
              <w:rPr>
                <w:b/>
                <w:szCs w:val="24"/>
              </w:rPr>
            </w:pPr>
            <w:r>
              <w:rPr>
                <w:b/>
              </w:rPr>
              <w:t>Review of SY 17-18 APR Indicator Results – Part 2</w:t>
            </w:r>
          </w:p>
        </w:tc>
        <w:tc>
          <w:tcPr>
            <w:tcW w:w="7472" w:type="dxa"/>
            <w:tcBorders>
              <w:top w:val="single" w:sz="6" w:space="0" w:color="auto"/>
              <w:left w:val="single" w:sz="6" w:space="0" w:color="auto"/>
              <w:bottom w:val="single" w:sz="6" w:space="0" w:color="auto"/>
              <w:right w:val="single" w:sz="6" w:space="0" w:color="auto"/>
            </w:tcBorders>
          </w:tcPr>
          <w:p w14:paraId="6108F997" w14:textId="305C0234" w:rsidR="004B37E9" w:rsidRDefault="004B37E9" w:rsidP="004B37E9">
            <w:r w:rsidRPr="005669DE">
              <w:rPr>
                <w:u w:val="single"/>
              </w:rPr>
              <w:t>Questions and comments from members and guests</w:t>
            </w:r>
            <w:r>
              <w:rPr>
                <w:u w:val="single"/>
              </w:rPr>
              <w:t xml:space="preserve"> (cont.)</w:t>
            </w:r>
            <w:r>
              <w:t>:</w:t>
            </w:r>
          </w:p>
          <w:p w14:paraId="564F77E9" w14:textId="0EA4A8C4" w:rsidR="00BF6350" w:rsidRDefault="00BF6350" w:rsidP="00BF6350">
            <w:pPr>
              <w:rPr>
                <w:b/>
              </w:rPr>
            </w:pPr>
            <w:r w:rsidRPr="00BF6350">
              <w:rPr>
                <w:b/>
              </w:rPr>
              <w:t xml:space="preserve">Re: </w:t>
            </w:r>
            <w:r>
              <w:rPr>
                <w:b/>
              </w:rPr>
              <w:t>Presentation of</w:t>
            </w:r>
            <w:r w:rsidRPr="00BF6350">
              <w:rPr>
                <w:b/>
              </w:rPr>
              <w:t xml:space="preserve"> data</w:t>
            </w:r>
          </w:p>
          <w:p w14:paraId="3DDF90CC" w14:textId="4B7457BF" w:rsidR="00BF6350" w:rsidRPr="00BF6350" w:rsidRDefault="00BF6350" w:rsidP="00BF6350">
            <w:r w:rsidRPr="00BF6350">
              <w:t xml:space="preserve">C. </w:t>
            </w:r>
            <w:r w:rsidR="00421E25">
              <w:t xml:space="preserve">I suggest that you consider presenting your data differently to make it more understandable to the general public.  Currently you are presenting your </w:t>
            </w:r>
            <w:r>
              <w:t>target</w:t>
            </w:r>
            <w:r w:rsidR="004B37E9">
              <w:t xml:space="preserve"> data </w:t>
            </w:r>
            <w:r w:rsidR="00421E25">
              <w:t>by r</w:t>
            </w:r>
            <w:r>
              <w:t xml:space="preserve">ounding to 2 digits.  When I used to do national surveys, </w:t>
            </w:r>
            <w:r w:rsidR="00421E25">
              <w:t xml:space="preserve">we </w:t>
            </w:r>
            <w:r>
              <w:t>always round</w:t>
            </w:r>
            <w:r w:rsidR="00421E25">
              <w:t>ed</w:t>
            </w:r>
            <w:r>
              <w:t xml:space="preserve"> to whole number</w:t>
            </w:r>
            <w:r w:rsidR="00421E25">
              <w:t>s</w:t>
            </w:r>
            <w:r>
              <w:t xml:space="preserve">.  </w:t>
            </w:r>
            <w:r w:rsidR="00421E25">
              <w:t>Additionally, you c</w:t>
            </w:r>
            <w:r>
              <w:t>ould color code</w:t>
            </w:r>
            <w:r w:rsidR="00421E25">
              <w:t xml:space="preserve"> and do</w:t>
            </w:r>
            <w:r>
              <w:t xml:space="preserve"> confidence interval</w:t>
            </w:r>
            <w:r w:rsidR="00421E25">
              <w:t>s</w:t>
            </w:r>
            <w:r>
              <w:t>.</w:t>
            </w:r>
          </w:p>
        </w:tc>
        <w:tc>
          <w:tcPr>
            <w:tcW w:w="2968" w:type="dxa"/>
            <w:tcBorders>
              <w:top w:val="single" w:sz="6" w:space="0" w:color="auto"/>
              <w:left w:val="single" w:sz="6" w:space="0" w:color="auto"/>
              <w:bottom w:val="single" w:sz="6" w:space="0" w:color="auto"/>
              <w:right w:val="single" w:sz="6" w:space="0" w:color="auto"/>
            </w:tcBorders>
          </w:tcPr>
          <w:p w14:paraId="44C2B0C9" w14:textId="77777777" w:rsidR="00BF6350" w:rsidRDefault="00BF6350" w:rsidP="000B4C2D"/>
        </w:tc>
      </w:tr>
      <w:tr w:rsidR="004F0103" w14:paraId="0CF701C0" w14:textId="77777777" w:rsidTr="00472972">
        <w:tc>
          <w:tcPr>
            <w:tcW w:w="2780" w:type="dxa"/>
            <w:tcBorders>
              <w:top w:val="single" w:sz="6" w:space="0" w:color="auto"/>
              <w:left w:val="single" w:sz="6" w:space="0" w:color="auto"/>
              <w:bottom w:val="single" w:sz="6" w:space="0" w:color="auto"/>
              <w:right w:val="single" w:sz="6" w:space="0" w:color="auto"/>
            </w:tcBorders>
          </w:tcPr>
          <w:p w14:paraId="453DB1A4" w14:textId="268AFDFA" w:rsidR="004F0103" w:rsidRPr="00B87935" w:rsidRDefault="004F0103" w:rsidP="006C7F21">
            <w:pPr>
              <w:rPr>
                <w:b/>
                <w:szCs w:val="24"/>
              </w:rPr>
            </w:pPr>
            <w:r>
              <w:rPr>
                <w:b/>
                <w:szCs w:val="24"/>
              </w:rPr>
              <w:t xml:space="preserve">Parent Involvement Survey Discussion </w:t>
            </w:r>
          </w:p>
        </w:tc>
        <w:tc>
          <w:tcPr>
            <w:tcW w:w="7472" w:type="dxa"/>
            <w:tcBorders>
              <w:top w:val="single" w:sz="6" w:space="0" w:color="auto"/>
              <w:left w:val="single" w:sz="6" w:space="0" w:color="auto"/>
              <w:bottom w:val="single" w:sz="6" w:space="0" w:color="auto"/>
              <w:right w:val="single" w:sz="6" w:space="0" w:color="auto"/>
            </w:tcBorders>
          </w:tcPr>
          <w:p w14:paraId="2B731158" w14:textId="60353E35" w:rsidR="004F0103" w:rsidRPr="0065618E" w:rsidRDefault="000B4C2D" w:rsidP="0000608B">
            <w:r w:rsidRPr="000B4C2D">
              <w:t xml:space="preserve">Drew </w:t>
            </w:r>
            <w:r w:rsidR="00421E25">
              <w:t xml:space="preserve">reported that he </w:t>
            </w:r>
            <w:r w:rsidRPr="000B4C2D">
              <w:t xml:space="preserve">followed up on the issue </w:t>
            </w:r>
            <w:r w:rsidR="0000608B">
              <w:t>brought up in</w:t>
            </w:r>
            <w:r w:rsidR="0000608B" w:rsidRPr="000B4C2D">
              <w:t xml:space="preserve"> </w:t>
            </w:r>
            <w:r w:rsidR="0000608B">
              <w:t>an earlier</w:t>
            </w:r>
            <w:r w:rsidR="0000608B" w:rsidRPr="000B4C2D">
              <w:t xml:space="preserve"> discussion </w:t>
            </w:r>
            <w:r w:rsidRPr="000B4C2D">
              <w:t xml:space="preserve">of parents not receiving surveys </w:t>
            </w:r>
            <w:r w:rsidR="0000608B">
              <w:t>(</w:t>
            </w:r>
            <w:r w:rsidR="004F0103" w:rsidRPr="000B4C2D">
              <w:t>Indicator 8 – Parent Involvement</w:t>
            </w:r>
            <w:r w:rsidR="0000608B">
              <w:t>)</w:t>
            </w:r>
            <w:r>
              <w:t xml:space="preserve">.  He wanted to make sure parents have a voice in order to make changes.  Principals have apologized for the missing surveys and are now aware and willing to give them out.  </w:t>
            </w:r>
            <w:r w:rsidR="00421E25">
              <w:t>Drew</w:t>
            </w:r>
            <w:r w:rsidR="00F60742">
              <w:t xml:space="preserve"> was told that schools have records and are documenting which parents have received </w:t>
            </w:r>
            <w:r w:rsidR="0000608B">
              <w:t xml:space="preserve">the survey and which have not. </w:t>
            </w:r>
            <w:r>
              <w:t xml:space="preserve"> Martha noted that one half of the issue is getting the survey out and the other is getting them back.  She suggested having the survey completed at the IEP meeting.  Jasmine asked if the surveys </w:t>
            </w:r>
            <w:r w:rsidR="0000608B">
              <w:t>identify</w:t>
            </w:r>
            <w:r>
              <w:t xml:space="preserve"> the child’s ethnicity</w:t>
            </w:r>
            <w:r w:rsidR="0000608B">
              <w:t>,</w:t>
            </w:r>
            <w:r>
              <w:t xml:space="preserve"> and if they are </w:t>
            </w:r>
            <w:r w:rsidR="00F60742">
              <w:t xml:space="preserve">available in other languages.  Drew replied that SSCs can print out the survey for the parent in 13 languages.  Steven pointed out that the current parent survey has more than 25 questions, which may </w:t>
            </w:r>
            <w:r w:rsidR="00BF6350">
              <w:t>inhibit particiation.  Hawaii could choose to use an alternate survey.</w:t>
            </w:r>
          </w:p>
        </w:tc>
        <w:tc>
          <w:tcPr>
            <w:tcW w:w="2968" w:type="dxa"/>
            <w:tcBorders>
              <w:top w:val="single" w:sz="6" w:space="0" w:color="auto"/>
              <w:left w:val="single" w:sz="6" w:space="0" w:color="auto"/>
              <w:bottom w:val="single" w:sz="6" w:space="0" w:color="auto"/>
              <w:right w:val="single" w:sz="6" w:space="0" w:color="auto"/>
            </w:tcBorders>
          </w:tcPr>
          <w:p w14:paraId="786D1CCE" w14:textId="0FBEABF5" w:rsidR="004F0103" w:rsidRDefault="000B4C2D" w:rsidP="000B4C2D">
            <w:r>
              <w:t>If you know of parents who haven’t received the parent involvemen</w:t>
            </w:r>
            <w:r w:rsidR="0000608B">
              <w:t>t survey, contact the principal of the school</w:t>
            </w:r>
            <w:r>
              <w:t xml:space="preserve"> or call Drew (808) 277-0356.  </w:t>
            </w:r>
          </w:p>
        </w:tc>
      </w:tr>
      <w:tr w:rsidR="00F60742" w14:paraId="3F7F4378" w14:textId="77777777" w:rsidTr="00472972">
        <w:tc>
          <w:tcPr>
            <w:tcW w:w="2780" w:type="dxa"/>
            <w:tcBorders>
              <w:top w:val="single" w:sz="6" w:space="0" w:color="auto"/>
              <w:left w:val="single" w:sz="6" w:space="0" w:color="auto"/>
              <w:bottom w:val="single" w:sz="6" w:space="0" w:color="auto"/>
              <w:right w:val="single" w:sz="6" w:space="0" w:color="auto"/>
            </w:tcBorders>
          </w:tcPr>
          <w:p w14:paraId="3B291470" w14:textId="7116B7F3" w:rsidR="00F60742" w:rsidRDefault="00F60742" w:rsidP="006C7F21">
            <w:pPr>
              <w:rPr>
                <w:b/>
                <w:szCs w:val="24"/>
              </w:rPr>
            </w:pPr>
            <w:r>
              <w:rPr>
                <w:b/>
                <w:szCs w:val="24"/>
              </w:rPr>
              <w:t>Introductions</w:t>
            </w:r>
          </w:p>
        </w:tc>
        <w:tc>
          <w:tcPr>
            <w:tcW w:w="7472" w:type="dxa"/>
            <w:tcBorders>
              <w:top w:val="single" w:sz="6" w:space="0" w:color="auto"/>
              <w:left w:val="single" w:sz="6" w:space="0" w:color="auto"/>
              <w:bottom w:val="single" w:sz="6" w:space="0" w:color="auto"/>
              <w:right w:val="single" w:sz="6" w:space="0" w:color="auto"/>
            </w:tcBorders>
          </w:tcPr>
          <w:p w14:paraId="3201F1C4" w14:textId="45B17D07" w:rsidR="00F60742" w:rsidRPr="000B4C2D" w:rsidRDefault="00F60742" w:rsidP="00F60742">
            <w:r>
              <w:t xml:space="preserve">Members </w:t>
            </w:r>
            <w:r w:rsidRPr="00421E25">
              <w:t>introduced</w:t>
            </w:r>
            <w:r>
              <w:t xml:space="preserve"> themselves to Amy Kunz, Assistant Superintendent and Chief Financial Officer for the Department.  Guests included David Royer, a professor of special education at UH and Alice Yang, a statistician at the Developmental Disabilities Division.</w:t>
            </w:r>
          </w:p>
        </w:tc>
        <w:tc>
          <w:tcPr>
            <w:tcW w:w="2968" w:type="dxa"/>
            <w:tcBorders>
              <w:top w:val="single" w:sz="6" w:space="0" w:color="auto"/>
              <w:left w:val="single" w:sz="6" w:space="0" w:color="auto"/>
              <w:bottom w:val="single" w:sz="6" w:space="0" w:color="auto"/>
              <w:right w:val="single" w:sz="6" w:space="0" w:color="auto"/>
            </w:tcBorders>
          </w:tcPr>
          <w:p w14:paraId="0FA4C752" w14:textId="77777777" w:rsidR="00F60742" w:rsidRDefault="00F60742" w:rsidP="000B4C2D"/>
        </w:tc>
      </w:tr>
      <w:tr w:rsidR="00C73237" w14:paraId="664FAE56" w14:textId="77777777" w:rsidTr="00472972">
        <w:tc>
          <w:tcPr>
            <w:tcW w:w="2780" w:type="dxa"/>
            <w:tcBorders>
              <w:top w:val="single" w:sz="6" w:space="0" w:color="auto"/>
              <w:left w:val="single" w:sz="6" w:space="0" w:color="auto"/>
              <w:bottom w:val="single" w:sz="6" w:space="0" w:color="auto"/>
              <w:right w:val="single" w:sz="6" w:space="0" w:color="auto"/>
            </w:tcBorders>
          </w:tcPr>
          <w:p w14:paraId="3236E4E8" w14:textId="33EB82B3" w:rsidR="00C73237" w:rsidRPr="00C73237" w:rsidRDefault="00C73237" w:rsidP="00C73237">
            <w:pPr>
              <w:rPr>
                <w:b/>
                <w:szCs w:val="24"/>
              </w:rPr>
            </w:pPr>
            <w:r w:rsidRPr="00C73237">
              <w:rPr>
                <w:b/>
                <w:szCs w:val="24"/>
              </w:rPr>
              <w:t>Overview of the Fiscal Biennium Budget Request (2019-2021)</w:t>
            </w:r>
          </w:p>
        </w:tc>
        <w:tc>
          <w:tcPr>
            <w:tcW w:w="7472" w:type="dxa"/>
            <w:tcBorders>
              <w:top w:val="single" w:sz="6" w:space="0" w:color="auto"/>
              <w:left w:val="single" w:sz="6" w:space="0" w:color="auto"/>
              <w:bottom w:val="single" w:sz="6" w:space="0" w:color="auto"/>
              <w:right w:val="single" w:sz="6" w:space="0" w:color="auto"/>
            </w:tcBorders>
          </w:tcPr>
          <w:p w14:paraId="20F6D213" w14:textId="77777777" w:rsidR="00C73237" w:rsidRDefault="00C73237" w:rsidP="00F60742">
            <w:r>
              <w:t>AS Kunz presented the briefing that the Department gave key legislators.  It included four budget priorities:</w:t>
            </w:r>
          </w:p>
          <w:p w14:paraId="0B2F6CF1" w14:textId="22FD6FC3" w:rsidR="00C73237" w:rsidRDefault="0000608B" w:rsidP="00F60742">
            <w:r>
              <w:t xml:space="preserve">   • </w:t>
            </w:r>
            <w:r w:rsidR="00C73237">
              <w:t>programming existing funds to align with strategic priorities;</w:t>
            </w:r>
          </w:p>
          <w:p w14:paraId="1C73B870" w14:textId="77777777" w:rsidR="00C73237" w:rsidRDefault="00C73237" w:rsidP="00F60742">
            <w:r>
              <w:t xml:space="preserve">   • focussing on significant CIP needs;</w:t>
            </w:r>
          </w:p>
          <w:p w14:paraId="655184FE" w14:textId="77777777" w:rsidR="00C73237" w:rsidRDefault="00C73237" w:rsidP="00F60742">
            <w:r>
              <w:t xml:space="preserve">   • addressing Title IX in athletics; and</w:t>
            </w:r>
          </w:p>
          <w:p w14:paraId="47445C38" w14:textId="77777777" w:rsidR="00C73237" w:rsidRDefault="00C73237" w:rsidP="00F60742">
            <w:r>
              <w:lastRenderedPageBreak/>
              <w:t xml:space="preserve">   • targeting advancements in strategics.</w:t>
            </w:r>
          </w:p>
          <w:p w14:paraId="7EF878EF" w14:textId="04ECB034" w:rsidR="00C73237" w:rsidRDefault="00C73237" w:rsidP="00C73237">
            <w:r>
              <w:t xml:space="preserve">In the past, DOE would ask the legislature for $90 million but never get it.  So leadership reprioritized leftover funding due to salary savings and </w:t>
            </w:r>
          </w:p>
        </w:tc>
        <w:tc>
          <w:tcPr>
            <w:tcW w:w="2968" w:type="dxa"/>
            <w:tcBorders>
              <w:top w:val="single" w:sz="6" w:space="0" w:color="auto"/>
              <w:left w:val="single" w:sz="6" w:space="0" w:color="auto"/>
              <w:bottom w:val="single" w:sz="6" w:space="0" w:color="auto"/>
              <w:right w:val="single" w:sz="6" w:space="0" w:color="auto"/>
            </w:tcBorders>
          </w:tcPr>
          <w:p w14:paraId="1D44752B" w14:textId="77777777" w:rsidR="00C73237" w:rsidRDefault="00C73237" w:rsidP="000B4C2D"/>
        </w:tc>
      </w:tr>
    </w:tbl>
    <w:p w14:paraId="26A0A7F6" w14:textId="77777777" w:rsidR="0000175A" w:rsidRDefault="0000175A">
      <w:r>
        <w:lastRenderedPageBreak/>
        <w:t>SEAC Minutes</w:t>
      </w:r>
    </w:p>
    <w:p w14:paraId="59AB12BC" w14:textId="77777777" w:rsidR="005363EA" w:rsidRDefault="005363EA" w:rsidP="005363EA">
      <w:r>
        <w:t>February 8, 2019</w:t>
      </w:r>
    </w:p>
    <w:p w14:paraId="63ED91BF" w14:textId="77777777" w:rsidR="0000175A" w:rsidRDefault="0000175A">
      <w:r>
        <w:t xml:space="preserve">Page </w:t>
      </w:r>
      <w:r w:rsidR="00A355C0">
        <w:t>4</w:t>
      </w:r>
    </w:p>
    <w:p w14:paraId="2BFD312B" w14:textId="77777777" w:rsidR="00E25230" w:rsidRDefault="00E25230"/>
    <w:tbl>
      <w:tblPr>
        <w:tblW w:w="13220" w:type="dxa"/>
        <w:tblLayout w:type="fixed"/>
        <w:tblCellMar>
          <w:left w:w="80" w:type="dxa"/>
          <w:right w:w="80" w:type="dxa"/>
        </w:tblCellMar>
        <w:tblLook w:val="0000" w:firstRow="0" w:lastRow="0" w:firstColumn="0" w:lastColumn="0" w:noHBand="0" w:noVBand="0"/>
      </w:tblPr>
      <w:tblGrid>
        <w:gridCol w:w="2780"/>
        <w:gridCol w:w="7380"/>
        <w:gridCol w:w="3060"/>
      </w:tblGrid>
      <w:tr w:rsidR="0000175A" w14:paraId="7E891909" w14:textId="77777777">
        <w:tc>
          <w:tcPr>
            <w:tcW w:w="2780" w:type="dxa"/>
            <w:tcBorders>
              <w:top w:val="single" w:sz="6" w:space="0" w:color="auto"/>
              <w:left w:val="single" w:sz="6" w:space="0" w:color="auto"/>
              <w:bottom w:val="single" w:sz="6" w:space="0" w:color="auto"/>
              <w:right w:val="single" w:sz="6" w:space="0" w:color="auto"/>
            </w:tcBorders>
          </w:tcPr>
          <w:p w14:paraId="2DE10EE6" w14:textId="77777777" w:rsidR="0000175A" w:rsidRDefault="00C73237" w:rsidP="006C7F21">
            <w:pPr>
              <w:rPr>
                <w:b/>
                <w:szCs w:val="24"/>
              </w:rPr>
            </w:pPr>
            <w:r w:rsidRPr="00C73237">
              <w:rPr>
                <w:b/>
                <w:szCs w:val="24"/>
              </w:rPr>
              <w:t>Overview of the Fiscal Biennium Budget Request (2019-2021)</w:t>
            </w:r>
          </w:p>
          <w:p w14:paraId="2B53FDDD" w14:textId="6F41C35D" w:rsidR="00FF7F7A" w:rsidRPr="00B87935" w:rsidRDefault="00FF7F7A" w:rsidP="006C7F21">
            <w:pPr>
              <w:rPr>
                <w:b/>
                <w:szCs w:val="24"/>
              </w:rPr>
            </w:pPr>
            <w:r>
              <w:rPr>
                <w:b/>
                <w:szCs w:val="24"/>
              </w:rPr>
              <w:t>cont.</w:t>
            </w:r>
          </w:p>
        </w:tc>
        <w:tc>
          <w:tcPr>
            <w:tcW w:w="7380" w:type="dxa"/>
            <w:tcBorders>
              <w:top w:val="single" w:sz="6" w:space="0" w:color="auto"/>
              <w:left w:val="single" w:sz="6" w:space="0" w:color="auto"/>
              <w:bottom w:val="single" w:sz="6" w:space="0" w:color="auto"/>
              <w:right w:val="single" w:sz="6" w:space="0" w:color="auto"/>
            </w:tcBorders>
          </w:tcPr>
          <w:p w14:paraId="19141C44" w14:textId="77777777" w:rsidR="0068300B" w:rsidRDefault="00C73237" w:rsidP="00C73237">
            <w:r>
              <w:t xml:space="preserve">adjustments and earmarked that money for skilled nursing and Applied Behavior Analysis (ABA) positions.  The legislature was asked to approve 166 ABA permanent positions with no money request. </w:t>
            </w:r>
          </w:p>
          <w:p w14:paraId="49D176EB" w14:textId="77777777" w:rsidR="00C73237" w:rsidRDefault="00C73237" w:rsidP="00C73237">
            <w:pPr>
              <w:rPr>
                <w:u w:val="single"/>
              </w:rPr>
            </w:pPr>
            <w:r w:rsidRPr="00C73237">
              <w:rPr>
                <w:u w:val="single"/>
              </w:rPr>
              <w:t>Future budget challenges</w:t>
            </w:r>
          </w:p>
          <w:p w14:paraId="5464756C" w14:textId="77777777" w:rsidR="00C73237" w:rsidRDefault="00C73237" w:rsidP="00C73237">
            <w:r w:rsidRPr="00C73237">
              <w:t>Some</w:t>
            </w:r>
            <w:r>
              <w:t xml:space="preserve"> of the challenges facing DOE</w:t>
            </w:r>
            <w:r w:rsidR="005426B3">
              <w:t xml:space="preserve"> include:</w:t>
            </w:r>
          </w:p>
          <w:p w14:paraId="7E943127" w14:textId="77777777" w:rsidR="005426B3" w:rsidRDefault="005426B3" w:rsidP="00C73237">
            <w:r>
              <w:t xml:space="preserve">   • competitive pay for teachers,</w:t>
            </w:r>
          </w:p>
          <w:p w14:paraId="17C73109" w14:textId="77777777" w:rsidR="005426B3" w:rsidRDefault="005426B3" w:rsidP="00C73237">
            <w:r>
              <w:t xml:space="preserve">   • replacing or maintaining aging facilities (average school age = 62 yrs.),</w:t>
            </w:r>
          </w:p>
          <w:p w14:paraId="50A68EA6" w14:textId="31A0017A" w:rsidR="005426B3" w:rsidRDefault="005426B3" w:rsidP="00C73237">
            <w:r>
              <w:t xml:space="preserve">   • adequate pre-K classrooms</w:t>
            </w:r>
            <w:r w:rsidR="006A331C">
              <w:t>,</w:t>
            </w:r>
          </w:p>
          <w:p w14:paraId="7EEA57DA" w14:textId="62DC1F0C" w:rsidR="006A331C" w:rsidRDefault="006A331C" w:rsidP="00C73237">
            <w:r>
              <w:t xml:space="preserve">   • transitioning to school-based empowerment, and</w:t>
            </w:r>
          </w:p>
          <w:p w14:paraId="6265714C" w14:textId="77777777" w:rsidR="005426B3" w:rsidRDefault="006A331C" w:rsidP="00C73237">
            <w:r>
              <w:t xml:space="preserve">   • modernizing their technology structure.</w:t>
            </w:r>
          </w:p>
          <w:p w14:paraId="6625C9E3" w14:textId="77777777" w:rsidR="006A331C" w:rsidRDefault="006A331C" w:rsidP="00C73237">
            <w:pPr>
              <w:rPr>
                <w:u w:val="single"/>
              </w:rPr>
            </w:pPr>
            <w:r w:rsidRPr="006A331C">
              <w:rPr>
                <w:u w:val="single"/>
              </w:rPr>
              <w:t>Emphasis on transparent communication</w:t>
            </w:r>
          </w:p>
          <w:p w14:paraId="5C942AE1" w14:textId="3EFE3C23" w:rsidR="006A331C" w:rsidRDefault="00060F07" w:rsidP="00C73237">
            <w:r>
              <w:t xml:space="preserve">The Department is doing more with less, but the budget is not keeping up with inflation.  There are also </w:t>
            </w:r>
            <w:r w:rsidR="00820DD5">
              <w:t xml:space="preserve">greater needs required by special education students, increased food costs, and increased Worker’s Compensation costs due to the skyrocketing cost of medications.  </w:t>
            </w:r>
            <w:r w:rsidR="00BE03AC">
              <w:t>AS Kunz walked members through a list of fact sheets on the Department’s budget page</w:t>
            </w:r>
            <w:r w:rsidR="00141E08">
              <w:t xml:space="preserve">: </w:t>
            </w:r>
            <w:hyperlink r:id="rId8" w:history="1">
              <w:r w:rsidR="00141E08" w:rsidRPr="00174F5B">
                <w:rPr>
                  <w:rStyle w:val="Hyperlink"/>
                </w:rPr>
                <w:t>http://www.hawaiipublicschools.org/ConnectWithUs/Organization/Budget/Pages/home.aspx</w:t>
              </w:r>
            </w:hyperlink>
            <w:r w:rsidR="00141E08">
              <w:t>.</w:t>
            </w:r>
          </w:p>
          <w:p w14:paraId="5E9E75DB" w14:textId="77777777" w:rsidR="00141E08" w:rsidRPr="00D60626" w:rsidRDefault="00820DD5" w:rsidP="00820DD5">
            <w:pPr>
              <w:rPr>
                <w:u w:val="single"/>
              </w:rPr>
            </w:pPr>
            <w:r w:rsidRPr="00D60626">
              <w:rPr>
                <w:u w:val="single"/>
              </w:rPr>
              <w:t>Special education funding (EDN 150)</w:t>
            </w:r>
          </w:p>
          <w:p w14:paraId="551B92FD" w14:textId="77D9ED89" w:rsidR="00820DD5" w:rsidRDefault="00820DD5" w:rsidP="00D60626">
            <w:r>
              <w:t>The Special Education Task Force recommended at the end of last year that DOE look at how funds are distributed.  A Fiscal Allocation Work Group is meeting six times this school year with representation from principals, teachers, DESs, Complex Area Superintendents and SEAC.  One of the things they are exploring is whether they can move special education personnel moneys into the Weighted Student Formula to allow for greater flexibility</w:t>
            </w:r>
            <w:r w:rsidR="00D60626">
              <w:t xml:space="preserve"> at the school level.  However, providing school administrators more flexibility will also result in them having more accountability for student outcomes.  The Work Group will take their recommendations to the Committee on Weights for possible </w:t>
            </w:r>
            <w:r w:rsidR="00D60626">
              <w:lastRenderedPageBreak/>
              <w:t>implementation in SY 20-21.</w:t>
            </w:r>
          </w:p>
          <w:p w14:paraId="21102F85" w14:textId="48AF71C5" w:rsidR="00D60626" w:rsidRPr="00D60626" w:rsidRDefault="00D60626" w:rsidP="00D60626">
            <w:pPr>
              <w:rPr>
                <w:u w:val="single"/>
              </w:rPr>
            </w:pPr>
            <w:r w:rsidRPr="00D60626">
              <w:rPr>
                <w:u w:val="single"/>
              </w:rPr>
              <w:t>Questions and comments from members and guests</w:t>
            </w:r>
          </w:p>
          <w:p w14:paraId="503EC673" w14:textId="23D3C516" w:rsidR="00D60626" w:rsidRPr="00BE03AC" w:rsidRDefault="00FF7F7A" w:rsidP="00D60626">
            <w:r>
              <w:t xml:space="preserve">C. </w:t>
            </w:r>
            <w:r w:rsidR="00D60626">
              <w:t>Your budget report to the Legislature had no statistics regarding special education students who are not necessarily making the positive gains that</w:t>
            </w:r>
          </w:p>
        </w:tc>
        <w:tc>
          <w:tcPr>
            <w:tcW w:w="3060" w:type="dxa"/>
            <w:tcBorders>
              <w:top w:val="single" w:sz="6" w:space="0" w:color="auto"/>
              <w:left w:val="single" w:sz="6" w:space="0" w:color="auto"/>
              <w:bottom w:val="single" w:sz="6" w:space="0" w:color="auto"/>
              <w:right w:val="single" w:sz="6" w:space="0" w:color="auto"/>
            </w:tcBorders>
          </w:tcPr>
          <w:p w14:paraId="10A44A80" w14:textId="77777777" w:rsidR="00114A7C" w:rsidRDefault="00114A7C" w:rsidP="00E25230"/>
          <w:p w14:paraId="09CAC7CD" w14:textId="77777777" w:rsidR="00F170AB" w:rsidRDefault="00F170AB" w:rsidP="00E25230"/>
          <w:p w14:paraId="435FB8E6" w14:textId="77777777" w:rsidR="00F170AB" w:rsidRDefault="00F170AB" w:rsidP="00E25230"/>
          <w:p w14:paraId="4A451696" w14:textId="77777777" w:rsidR="00F170AB" w:rsidRDefault="00F170AB" w:rsidP="00E25230"/>
          <w:p w14:paraId="578059D3" w14:textId="77777777" w:rsidR="00F170AB" w:rsidRDefault="00F170AB" w:rsidP="00E25230"/>
          <w:p w14:paraId="7202CB9E" w14:textId="77777777" w:rsidR="00F170AB" w:rsidRDefault="00F170AB" w:rsidP="00E25230"/>
          <w:p w14:paraId="704A4FAD" w14:textId="77777777" w:rsidR="00F170AB" w:rsidRDefault="00F170AB" w:rsidP="00E25230"/>
          <w:p w14:paraId="6DDF939C" w14:textId="77777777" w:rsidR="00F170AB" w:rsidRDefault="00F170AB" w:rsidP="00E25230"/>
          <w:p w14:paraId="352EB9F0" w14:textId="77777777" w:rsidR="00F170AB" w:rsidRDefault="00F170AB" w:rsidP="00E25230"/>
          <w:p w14:paraId="5CA0062D" w14:textId="77777777" w:rsidR="00F170AB" w:rsidRDefault="00F170AB" w:rsidP="00E25230"/>
          <w:p w14:paraId="0219CBF6" w14:textId="77777777" w:rsidR="00F170AB" w:rsidRDefault="00F170AB" w:rsidP="00E25230"/>
          <w:p w14:paraId="32B24727" w14:textId="77777777" w:rsidR="00F170AB" w:rsidRDefault="00F170AB" w:rsidP="00E25230"/>
          <w:p w14:paraId="7C607224" w14:textId="77777777" w:rsidR="00F170AB" w:rsidRDefault="00F170AB" w:rsidP="00E25230"/>
          <w:p w14:paraId="1B07D128" w14:textId="77777777" w:rsidR="00F170AB" w:rsidRDefault="00F170AB" w:rsidP="00E25230"/>
          <w:p w14:paraId="005CADED" w14:textId="00581412" w:rsidR="00F170AB" w:rsidRDefault="00F170AB" w:rsidP="009F6AD3">
            <w:r>
              <w:t>AS Kunz asked members to look at the website and provide feedback on whether the information is transparent and easily consum</w:t>
            </w:r>
            <w:r w:rsidR="009F6AD3">
              <w:t>ed.</w:t>
            </w:r>
          </w:p>
        </w:tc>
      </w:tr>
    </w:tbl>
    <w:p w14:paraId="59F2DE08" w14:textId="349C9892" w:rsidR="008C704C" w:rsidRDefault="008C704C" w:rsidP="008C704C">
      <w:r>
        <w:lastRenderedPageBreak/>
        <w:t>SEAC Minutes</w:t>
      </w:r>
    </w:p>
    <w:p w14:paraId="553CCCD2" w14:textId="5067643D" w:rsidR="008C704C" w:rsidRDefault="005363EA" w:rsidP="008C704C">
      <w:r>
        <w:t>February 8, 2019</w:t>
      </w:r>
    </w:p>
    <w:p w14:paraId="644B6AB2" w14:textId="27A04D2E" w:rsidR="00EC7545" w:rsidRDefault="008C704C">
      <w:r>
        <w:t>Page 5</w:t>
      </w:r>
    </w:p>
    <w:p w14:paraId="3AF2A9C3" w14:textId="77777777" w:rsidR="00075BD8" w:rsidRPr="00075BD8" w:rsidRDefault="00075BD8">
      <w:pPr>
        <w:rPr>
          <w:sz w:val="16"/>
          <w:szCs w:val="16"/>
        </w:rPr>
      </w:pPr>
    </w:p>
    <w:tbl>
      <w:tblPr>
        <w:tblW w:w="13220" w:type="dxa"/>
        <w:tblLayout w:type="fixed"/>
        <w:tblCellMar>
          <w:left w:w="80" w:type="dxa"/>
          <w:right w:w="80" w:type="dxa"/>
        </w:tblCellMar>
        <w:tblLook w:val="0000" w:firstRow="0" w:lastRow="0" w:firstColumn="0" w:lastColumn="0" w:noHBand="0" w:noVBand="0"/>
      </w:tblPr>
      <w:tblGrid>
        <w:gridCol w:w="2780"/>
        <w:gridCol w:w="7380"/>
        <w:gridCol w:w="3060"/>
      </w:tblGrid>
      <w:tr w:rsidR="00A03F9C" w14:paraId="30289A85" w14:textId="77777777">
        <w:tc>
          <w:tcPr>
            <w:tcW w:w="2780" w:type="dxa"/>
            <w:tcBorders>
              <w:top w:val="single" w:sz="6" w:space="0" w:color="auto"/>
              <w:left w:val="single" w:sz="6" w:space="0" w:color="auto"/>
              <w:bottom w:val="single" w:sz="6" w:space="0" w:color="auto"/>
              <w:right w:val="single" w:sz="6" w:space="0" w:color="auto"/>
            </w:tcBorders>
          </w:tcPr>
          <w:p w14:paraId="3ACA635C" w14:textId="74D1601A" w:rsidR="0000652C" w:rsidRDefault="00D60626" w:rsidP="0000652C">
            <w:pPr>
              <w:rPr>
                <w:b/>
                <w:szCs w:val="24"/>
              </w:rPr>
            </w:pPr>
            <w:r w:rsidRPr="00C73237">
              <w:rPr>
                <w:b/>
                <w:szCs w:val="24"/>
              </w:rPr>
              <w:t>Overview of the Fiscal Biennium Budget Request (2019-2021)</w:t>
            </w:r>
          </w:p>
          <w:p w14:paraId="48F0ABF0" w14:textId="28694EBE" w:rsidR="00FF7F7A" w:rsidRPr="00C9674E" w:rsidRDefault="00FF7F7A" w:rsidP="0000652C">
            <w:pPr>
              <w:rPr>
                <w:b/>
              </w:rPr>
            </w:pPr>
            <w:r>
              <w:rPr>
                <w:b/>
                <w:szCs w:val="24"/>
              </w:rPr>
              <w:t>cont.</w:t>
            </w:r>
          </w:p>
          <w:p w14:paraId="11ACD9CB" w14:textId="126BF7E1" w:rsidR="00A03F9C" w:rsidRPr="0000652C" w:rsidRDefault="00A03F9C" w:rsidP="00A255DA">
            <w:pPr>
              <w:rPr>
                <w:b/>
                <w:szCs w:val="24"/>
              </w:rPr>
            </w:pPr>
          </w:p>
        </w:tc>
        <w:tc>
          <w:tcPr>
            <w:tcW w:w="7380" w:type="dxa"/>
            <w:tcBorders>
              <w:top w:val="single" w:sz="6" w:space="0" w:color="auto"/>
              <w:left w:val="single" w:sz="6" w:space="0" w:color="auto"/>
              <w:bottom w:val="single" w:sz="6" w:space="0" w:color="auto"/>
              <w:right w:val="single" w:sz="6" w:space="0" w:color="auto"/>
            </w:tcBorders>
          </w:tcPr>
          <w:p w14:paraId="3B63F2AD" w14:textId="7E7AA4CA" w:rsidR="00FF7F7A" w:rsidRDefault="00D60626" w:rsidP="003B492E">
            <w:r>
              <w:t>their general education peers are making.</w:t>
            </w:r>
          </w:p>
          <w:p w14:paraId="0B6EF9FC" w14:textId="2A2F1390" w:rsidR="003B492E" w:rsidRDefault="00FF7F7A" w:rsidP="003B492E">
            <w:r>
              <w:t>Q. Are special education students not currently included in the Weighted Student Formula?  A. Each student is given a weight of ‘1’ but all other services are outside the WSF.</w:t>
            </w:r>
          </w:p>
          <w:p w14:paraId="6B0E5347" w14:textId="38FB35A7" w:rsidR="00FF7F7A" w:rsidRDefault="00FF7F7A" w:rsidP="003B492E">
            <w:r>
              <w:t>Q. Where does the funding for vice-principals come from?  A.  It is up to the schools to use their funds.</w:t>
            </w:r>
          </w:p>
          <w:p w14:paraId="797FADE3" w14:textId="37A04C00" w:rsidR="008F6E73" w:rsidRDefault="008F6E73" w:rsidP="003B492E">
            <w:r>
              <w:t>Q. What does CIP mean? A. (Amy) Construction in Progress.  A. (Ivalee) It used to be called Capital Improvement Program.</w:t>
            </w:r>
          </w:p>
          <w:p w14:paraId="6A897630" w14:textId="77777777" w:rsidR="009775B6" w:rsidRDefault="008F6E73" w:rsidP="00C601FF">
            <w:r>
              <w:t xml:space="preserve">C. It is somewhat scary to longtime advocates to have principals in charge of deciding on supports </w:t>
            </w:r>
            <w:r w:rsidR="00C601FF">
              <w:t xml:space="preserve">for students with IEPs </w:t>
            </w:r>
            <w:r>
              <w:t xml:space="preserve">when many of them </w:t>
            </w:r>
            <w:r w:rsidR="00F63FA8">
              <w:t>don’t have a good understanding of special education.</w:t>
            </w:r>
          </w:p>
          <w:p w14:paraId="3687F677" w14:textId="77777777" w:rsidR="00C601FF" w:rsidRDefault="00C601FF" w:rsidP="00C601FF">
            <w:r>
              <w:t>C. Staffing allocation needs to be balanced on the needs of the students, not based on numbers.</w:t>
            </w:r>
          </w:p>
          <w:p w14:paraId="74999950" w14:textId="4210DBAF" w:rsidR="00C601FF" w:rsidRDefault="00C601FF" w:rsidP="00C601FF">
            <w:r>
              <w:t xml:space="preserve">C. Staffing for general education students goes back to an academic plan that is open to the public.  Special education funds need to be </w:t>
            </w:r>
            <w:r w:rsidR="00792C69">
              <w:t>transparent and subject to collective bargaining as well.</w:t>
            </w:r>
            <w:r w:rsidR="00085213">
              <w:t xml:space="preserve">  A.  Combining </w:t>
            </w:r>
            <w:r w:rsidR="00E54DF3">
              <w:t>a financial plan that includes special education with an academic plan will help with transparency.  Currently so much of the money goes to the district</w:t>
            </w:r>
            <w:r w:rsidR="00DC2DCE">
              <w:t>,</w:t>
            </w:r>
            <w:r w:rsidR="00E54DF3">
              <w:t xml:space="preserve"> and we have questions of where the funds are going.  This new system will be better but not perfect, so we’ll have to have some contingency funds set aside.</w:t>
            </w:r>
          </w:p>
          <w:p w14:paraId="2A0D008E" w14:textId="7A539674" w:rsidR="00E54DF3" w:rsidRDefault="00E54DF3" w:rsidP="00C601FF">
            <w:r>
              <w:t>C. I work for an agency that partners with D</w:t>
            </w:r>
            <w:r w:rsidR="00DC2DCE">
              <w:t>O</w:t>
            </w:r>
            <w:r>
              <w:t>E.  We see a problem of a lack of transition coordinators.  I hear that it is down to the principal who often uses the funds for something else; however, the post school outcomes demonstrate the need for better transition planning.</w:t>
            </w:r>
          </w:p>
          <w:p w14:paraId="01FBDDBF" w14:textId="77777777" w:rsidR="00E54DF3" w:rsidRDefault="00E54DF3" w:rsidP="00C601FF">
            <w:r>
              <w:t>C. Some states have chosen to have a range of weights for special education students based on their wide variety of needs.</w:t>
            </w:r>
          </w:p>
          <w:p w14:paraId="014E930D" w14:textId="494CC3C5" w:rsidR="00E54DF3" w:rsidRDefault="00543E71" w:rsidP="00C601FF">
            <w:r>
              <w:t>Q. Where does School Based Behavioral Health fit in?  A. EDN 150.</w:t>
            </w:r>
          </w:p>
          <w:p w14:paraId="20FF295F" w14:textId="4F1C2340" w:rsidR="00543E71" w:rsidRDefault="00543E71" w:rsidP="00C601FF">
            <w:r>
              <w:lastRenderedPageBreak/>
              <w:t xml:space="preserve">C. Our kids on the Big Island are going without </w:t>
            </w:r>
            <w:r w:rsidR="00932343">
              <w:t>supports because we are having a hard time filling positions.  It would be nice to have flexibility.</w:t>
            </w:r>
          </w:p>
          <w:p w14:paraId="77E45FED" w14:textId="73BFDB18" w:rsidR="00932343" w:rsidRPr="00932343" w:rsidRDefault="00932343" w:rsidP="00C601FF">
            <w:pPr>
              <w:rPr>
                <w:u w:val="single"/>
              </w:rPr>
            </w:pPr>
            <w:r w:rsidRPr="00932343">
              <w:rPr>
                <w:u w:val="single"/>
              </w:rPr>
              <w:t>Questions from SEAC’s Legislative Committee (Ivalee Sinclair)</w:t>
            </w:r>
          </w:p>
          <w:p w14:paraId="2758705E" w14:textId="25A2FFD8" w:rsidR="00792C69" w:rsidRPr="002D1089" w:rsidRDefault="00932343" w:rsidP="00F16E7C">
            <w:r>
              <w:rPr>
                <w:szCs w:val="24"/>
              </w:rPr>
              <w:t>Q. Could you</w:t>
            </w:r>
            <w:r w:rsidRPr="00932343">
              <w:rPr>
                <w:szCs w:val="24"/>
              </w:rPr>
              <w:t xml:space="preserve"> explain the change in the legislative process this year that requires subject matter committees to approve appropriations before </w:t>
            </w:r>
          </w:p>
        </w:tc>
        <w:tc>
          <w:tcPr>
            <w:tcW w:w="3060" w:type="dxa"/>
            <w:tcBorders>
              <w:top w:val="single" w:sz="6" w:space="0" w:color="auto"/>
              <w:left w:val="single" w:sz="6" w:space="0" w:color="auto"/>
              <w:bottom w:val="single" w:sz="6" w:space="0" w:color="auto"/>
              <w:right w:val="single" w:sz="6" w:space="0" w:color="auto"/>
            </w:tcBorders>
          </w:tcPr>
          <w:p w14:paraId="06DB8FCF" w14:textId="77777777" w:rsidR="00A03F9C" w:rsidRDefault="00A03F9C"/>
        </w:tc>
      </w:tr>
    </w:tbl>
    <w:p w14:paraId="6591E7E9" w14:textId="77777777" w:rsidR="009B1E69" w:rsidRDefault="009B1E69" w:rsidP="009B1E69">
      <w:r>
        <w:lastRenderedPageBreak/>
        <w:t>SEAC Minutes</w:t>
      </w:r>
    </w:p>
    <w:p w14:paraId="223A60DB" w14:textId="77777777" w:rsidR="005363EA" w:rsidRDefault="005363EA" w:rsidP="005363EA">
      <w:r>
        <w:t>February 8, 2019</w:t>
      </w:r>
    </w:p>
    <w:p w14:paraId="637FB026" w14:textId="0E42442A" w:rsidR="009B1E69" w:rsidRDefault="009B1E69" w:rsidP="009B1E69">
      <w:r>
        <w:t>Page 6</w:t>
      </w:r>
    </w:p>
    <w:p w14:paraId="34957D25" w14:textId="77777777" w:rsidR="009B1E69" w:rsidRDefault="009B1E69" w:rsidP="009B1E69"/>
    <w:tbl>
      <w:tblPr>
        <w:tblW w:w="13220" w:type="dxa"/>
        <w:tblLayout w:type="fixed"/>
        <w:tblCellMar>
          <w:left w:w="80" w:type="dxa"/>
          <w:right w:w="80" w:type="dxa"/>
        </w:tblCellMar>
        <w:tblLook w:val="0000" w:firstRow="0" w:lastRow="0" w:firstColumn="0" w:lastColumn="0" w:noHBand="0" w:noVBand="0"/>
      </w:tblPr>
      <w:tblGrid>
        <w:gridCol w:w="2780"/>
        <w:gridCol w:w="7380"/>
        <w:gridCol w:w="3060"/>
      </w:tblGrid>
      <w:tr w:rsidR="009B1E69" w14:paraId="1F6B6AB3" w14:textId="77777777" w:rsidTr="003C25C5">
        <w:tc>
          <w:tcPr>
            <w:tcW w:w="2780" w:type="dxa"/>
            <w:tcBorders>
              <w:top w:val="single" w:sz="6" w:space="0" w:color="auto"/>
              <w:left w:val="single" w:sz="6" w:space="0" w:color="auto"/>
              <w:bottom w:val="single" w:sz="6" w:space="0" w:color="auto"/>
              <w:right w:val="single" w:sz="6" w:space="0" w:color="auto"/>
            </w:tcBorders>
          </w:tcPr>
          <w:p w14:paraId="6AFE9501" w14:textId="77777777" w:rsidR="009B1E69" w:rsidRDefault="005363EA" w:rsidP="006C7F21">
            <w:pPr>
              <w:rPr>
                <w:b/>
                <w:szCs w:val="24"/>
              </w:rPr>
            </w:pPr>
            <w:r w:rsidRPr="00C73237">
              <w:rPr>
                <w:b/>
                <w:szCs w:val="24"/>
              </w:rPr>
              <w:t>Overview of the Fiscal Biennium Budget Request (2019-2021)</w:t>
            </w:r>
          </w:p>
          <w:p w14:paraId="1216B83E" w14:textId="63C7AF18" w:rsidR="00FF7F7A" w:rsidRPr="00B87935" w:rsidRDefault="00FF7F7A" w:rsidP="006C7F21">
            <w:pPr>
              <w:rPr>
                <w:b/>
                <w:szCs w:val="24"/>
              </w:rPr>
            </w:pPr>
            <w:r>
              <w:rPr>
                <w:b/>
                <w:szCs w:val="24"/>
              </w:rPr>
              <w:t>cont.</w:t>
            </w:r>
          </w:p>
        </w:tc>
        <w:tc>
          <w:tcPr>
            <w:tcW w:w="7380" w:type="dxa"/>
            <w:tcBorders>
              <w:top w:val="single" w:sz="6" w:space="0" w:color="auto"/>
              <w:left w:val="single" w:sz="6" w:space="0" w:color="auto"/>
              <w:bottom w:val="single" w:sz="6" w:space="0" w:color="auto"/>
              <w:right w:val="single" w:sz="6" w:space="0" w:color="auto"/>
            </w:tcBorders>
          </w:tcPr>
          <w:p w14:paraId="2A7EB65B" w14:textId="77777777" w:rsidR="00F16E7C" w:rsidRPr="00932343" w:rsidRDefault="00F16E7C" w:rsidP="00F16E7C">
            <w:pPr>
              <w:rPr>
                <w:u w:val="single"/>
              </w:rPr>
            </w:pPr>
            <w:r w:rsidRPr="00932343">
              <w:rPr>
                <w:u w:val="single"/>
              </w:rPr>
              <w:t>Questions from SEAC’s Legislative Committee (per Ivalee Sinclair)</w:t>
            </w:r>
          </w:p>
          <w:p w14:paraId="793DD29D" w14:textId="6F50ED38" w:rsidR="00F16E7C" w:rsidRPr="00932343" w:rsidRDefault="00F16E7C" w:rsidP="00F16E7C">
            <w:pPr>
              <w:rPr>
                <w:szCs w:val="24"/>
              </w:rPr>
            </w:pPr>
            <w:r w:rsidRPr="00932343">
              <w:rPr>
                <w:szCs w:val="24"/>
              </w:rPr>
              <w:t>r</w:t>
            </w:r>
            <w:r>
              <w:rPr>
                <w:szCs w:val="24"/>
              </w:rPr>
              <w:t xml:space="preserve">eferral to the money committees?  </w:t>
            </w:r>
            <w:r w:rsidR="004D5594">
              <w:rPr>
                <w:szCs w:val="24"/>
              </w:rPr>
              <w:t xml:space="preserve">A. </w:t>
            </w:r>
            <w:r w:rsidR="00497890">
              <w:rPr>
                <w:szCs w:val="24"/>
              </w:rPr>
              <w:t xml:space="preserve">The House Finance Committee wanted the Lower and Higher Education Committee to be more responsible about expenditures, so it stripped out DOE’s base budget from the overall state budget (HB 2).  Representative Woodson has released several bills encompassing the base budget and additional funds.  Meanwhile, Senator Kidani has introduced bills that will go to Ways and Means.  The budget bills from both houses are </w:t>
            </w:r>
            <w:r w:rsidR="004D5594">
              <w:rPr>
                <w:szCs w:val="24"/>
              </w:rPr>
              <w:t>ready to cross over.</w:t>
            </w:r>
          </w:p>
          <w:p w14:paraId="655815BB" w14:textId="17A11144" w:rsidR="00F16E7C" w:rsidRDefault="004D5594" w:rsidP="00F16E7C">
            <w:pPr>
              <w:rPr>
                <w:szCs w:val="24"/>
              </w:rPr>
            </w:pPr>
            <w:r>
              <w:rPr>
                <w:szCs w:val="24"/>
              </w:rPr>
              <w:t xml:space="preserve">Q. </w:t>
            </w:r>
            <w:r w:rsidR="00F16E7C" w:rsidRPr="00932343">
              <w:rPr>
                <w:szCs w:val="24"/>
              </w:rPr>
              <w:t>There are several bills that award tax credits for teachers who spend their own monies in the classroom to support their students’ learning or their professional development.  Does the Department have a position on these bills?  Are schools equipped to verify each teacher’s expenditures?</w:t>
            </w:r>
          </w:p>
          <w:p w14:paraId="19202231" w14:textId="3C72E52C" w:rsidR="004D5594" w:rsidRPr="00932343" w:rsidRDefault="004D5594" w:rsidP="00F16E7C">
            <w:pPr>
              <w:rPr>
                <w:szCs w:val="24"/>
              </w:rPr>
            </w:pPr>
            <w:r>
              <w:rPr>
                <w:szCs w:val="24"/>
              </w:rPr>
              <w:t>A. DOE usually supports bills like these.  Any money coming in helps schools and is good for retention.  However, DOE will not be responsible for verifying teacher expenditures.</w:t>
            </w:r>
          </w:p>
          <w:p w14:paraId="541C602C" w14:textId="77CADB7A" w:rsidR="00F16E7C" w:rsidRDefault="004D5594" w:rsidP="00F16E7C">
            <w:pPr>
              <w:rPr>
                <w:szCs w:val="24"/>
              </w:rPr>
            </w:pPr>
            <w:r>
              <w:rPr>
                <w:szCs w:val="24"/>
              </w:rPr>
              <w:t xml:space="preserve">Q.  </w:t>
            </w:r>
            <w:r w:rsidR="00F16E7C" w:rsidRPr="00932343">
              <w:rPr>
                <w:szCs w:val="24"/>
              </w:rPr>
              <w:t>There is a bill that requires DOE to pay DOH for training for its CASs, principals, and school nurses on student mental health issues.  Isn’t that already embedded through the SBBH services and referrals to CAMHD?</w:t>
            </w:r>
          </w:p>
          <w:p w14:paraId="3C52C491" w14:textId="77777777" w:rsidR="004D5594" w:rsidRDefault="004D5594" w:rsidP="00F16E7C">
            <w:pPr>
              <w:rPr>
                <w:szCs w:val="24"/>
              </w:rPr>
            </w:pPr>
            <w:r>
              <w:rPr>
                <w:szCs w:val="24"/>
              </w:rPr>
              <w:t>A.  I would refer you to AS Armstrong for an answer.</w:t>
            </w:r>
          </w:p>
          <w:p w14:paraId="70F61FA6" w14:textId="22452AC5" w:rsidR="00F16E7C" w:rsidRPr="00932343" w:rsidRDefault="004D5594" w:rsidP="00F16E7C">
            <w:pPr>
              <w:rPr>
                <w:szCs w:val="24"/>
              </w:rPr>
            </w:pPr>
            <w:r>
              <w:rPr>
                <w:szCs w:val="24"/>
              </w:rPr>
              <w:t xml:space="preserve">Q. </w:t>
            </w:r>
            <w:r w:rsidR="00F16E7C" w:rsidRPr="00932343">
              <w:rPr>
                <w:szCs w:val="24"/>
              </w:rPr>
              <w:t>You need positions approved for new LBAs and RBTs.  Are these positions reflected in any of the bills that have been heard so far?  Are the folks that are likely to fill the RBT positions coming from other DOE positions thereby resulting in no additional personnel/capacity?</w:t>
            </w:r>
            <w:r w:rsidR="00EF4995">
              <w:rPr>
                <w:szCs w:val="24"/>
              </w:rPr>
              <w:t xml:space="preserve">  </w:t>
            </w:r>
            <w:r w:rsidR="00DC2DCE">
              <w:rPr>
                <w:szCs w:val="24"/>
              </w:rPr>
              <w:t xml:space="preserve">A. </w:t>
            </w:r>
            <w:r w:rsidR="00EF4995">
              <w:rPr>
                <w:szCs w:val="24"/>
              </w:rPr>
              <w:t>The money for the positions is included in HB 1523 and HB</w:t>
            </w:r>
            <w:r w:rsidR="003E379A">
              <w:rPr>
                <w:szCs w:val="24"/>
              </w:rPr>
              <w:t xml:space="preserve"> </w:t>
            </w:r>
            <w:r w:rsidR="00EF4995">
              <w:rPr>
                <w:szCs w:val="24"/>
              </w:rPr>
              <w:t>1524</w:t>
            </w:r>
            <w:r w:rsidR="003E379A">
              <w:rPr>
                <w:szCs w:val="24"/>
              </w:rPr>
              <w:t xml:space="preserve">.  We assume the positions will be hard to fill and recruit for, so unless we are able to grow the quantity of people to serve students who need ABA supports, we may cause the unintended consequence of hollowing out the EA positions </w:t>
            </w:r>
            <w:r w:rsidR="003E379A">
              <w:rPr>
                <w:szCs w:val="24"/>
              </w:rPr>
              <w:lastRenderedPageBreak/>
              <w:t>as they shift to RBT positions.</w:t>
            </w:r>
          </w:p>
          <w:p w14:paraId="244A4B59" w14:textId="5D09CC8C" w:rsidR="003C25C5" w:rsidRPr="003E379A" w:rsidRDefault="003E379A" w:rsidP="003B492E">
            <w:pPr>
              <w:rPr>
                <w:szCs w:val="24"/>
              </w:rPr>
            </w:pPr>
            <w:r>
              <w:rPr>
                <w:szCs w:val="24"/>
              </w:rPr>
              <w:t xml:space="preserve">Q. </w:t>
            </w:r>
            <w:r w:rsidR="00F16E7C" w:rsidRPr="00932343">
              <w:rPr>
                <w:szCs w:val="24"/>
              </w:rPr>
              <w:t xml:space="preserve">You are using salary savings – either from teacher turnover or unfilled positions – to fund the 166 ABA positions and skilled nursing services.  Should the Department be able to find more qualified personnel to fill some of these unfilled </w:t>
            </w:r>
            <w:r>
              <w:rPr>
                <w:szCs w:val="24"/>
              </w:rPr>
              <w:t xml:space="preserve">teaching </w:t>
            </w:r>
            <w:r w:rsidR="00F16E7C" w:rsidRPr="00932343">
              <w:rPr>
                <w:szCs w:val="24"/>
              </w:rPr>
              <w:t xml:space="preserve">positions, where will you find the money </w:t>
            </w:r>
          </w:p>
        </w:tc>
        <w:tc>
          <w:tcPr>
            <w:tcW w:w="3060" w:type="dxa"/>
            <w:tcBorders>
              <w:top w:val="single" w:sz="6" w:space="0" w:color="auto"/>
              <w:left w:val="single" w:sz="6" w:space="0" w:color="auto"/>
              <w:bottom w:val="single" w:sz="6" w:space="0" w:color="auto"/>
              <w:right w:val="single" w:sz="6" w:space="0" w:color="auto"/>
            </w:tcBorders>
          </w:tcPr>
          <w:p w14:paraId="5139547F" w14:textId="77777777" w:rsidR="009B1E69" w:rsidRDefault="009B1E69" w:rsidP="0000652C"/>
        </w:tc>
      </w:tr>
    </w:tbl>
    <w:p w14:paraId="723F629A" w14:textId="77777777" w:rsidR="006C7F21" w:rsidRDefault="006C7F21" w:rsidP="009B1E69"/>
    <w:p w14:paraId="26784FAF" w14:textId="77777777" w:rsidR="009B1E69" w:rsidRDefault="009B1E69" w:rsidP="009B1E69">
      <w:r>
        <w:t>SEAC Minutes</w:t>
      </w:r>
    </w:p>
    <w:p w14:paraId="34A265DC" w14:textId="77777777" w:rsidR="005363EA" w:rsidRDefault="005363EA" w:rsidP="005363EA">
      <w:r>
        <w:t>February 8, 2019</w:t>
      </w:r>
    </w:p>
    <w:p w14:paraId="3B31D5F8" w14:textId="7EAAE7B2" w:rsidR="009B1E69" w:rsidRDefault="009B1E69" w:rsidP="009B1E69">
      <w:r>
        <w:t>Page 7</w:t>
      </w:r>
    </w:p>
    <w:p w14:paraId="01EA4EE8" w14:textId="77777777" w:rsidR="009B1E69" w:rsidRDefault="009B1E69" w:rsidP="009B1E69"/>
    <w:tbl>
      <w:tblPr>
        <w:tblW w:w="13220" w:type="dxa"/>
        <w:tblLayout w:type="fixed"/>
        <w:tblCellMar>
          <w:left w:w="80" w:type="dxa"/>
          <w:right w:w="80" w:type="dxa"/>
        </w:tblCellMar>
        <w:tblLook w:val="0000" w:firstRow="0" w:lastRow="0" w:firstColumn="0" w:lastColumn="0" w:noHBand="0" w:noVBand="0"/>
      </w:tblPr>
      <w:tblGrid>
        <w:gridCol w:w="2780"/>
        <w:gridCol w:w="7380"/>
        <w:gridCol w:w="3060"/>
      </w:tblGrid>
      <w:tr w:rsidR="009B1E69" w14:paraId="27ED1035" w14:textId="77777777" w:rsidTr="007B7E53">
        <w:tc>
          <w:tcPr>
            <w:tcW w:w="2780" w:type="dxa"/>
            <w:tcBorders>
              <w:top w:val="single" w:sz="6" w:space="0" w:color="auto"/>
              <w:left w:val="single" w:sz="6" w:space="0" w:color="auto"/>
              <w:bottom w:val="single" w:sz="6" w:space="0" w:color="auto"/>
              <w:right w:val="single" w:sz="6" w:space="0" w:color="auto"/>
            </w:tcBorders>
          </w:tcPr>
          <w:p w14:paraId="37D5A3AD" w14:textId="50D42401" w:rsidR="009B1E69" w:rsidRPr="00324147" w:rsidRDefault="005363EA" w:rsidP="007B7E53">
            <w:pPr>
              <w:rPr>
                <w:b/>
                <w:szCs w:val="24"/>
              </w:rPr>
            </w:pPr>
            <w:r w:rsidRPr="00C73237">
              <w:rPr>
                <w:b/>
                <w:szCs w:val="24"/>
              </w:rPr>
              <w:t>Overview of the Fiscal Biennium Budget Request (2019-2021)</w:t>
            </w:r>
          </w:p>
        </w:tc>
        <w:tc>
          <w:tcPr>
            <w:tcW w:w="7380" w:type="dxa"/>
            <w:tcBorders>
              <w:top w:val="single" w:sz="6" w:space="0" w:color="auto"/>
              <w:left w:val="single" w:sz="6" w:space="0" w:color="auto"/>
              <w:bottom w:val="single" w:sz="6" w:space="0" w:color="auto"/>
              <w:right w:val="single" w:sz="6" w:space="0" w:color="auto"/>
            </w:tcBorders>
          </w:tcPr>
          <w:p w14:paraId="04E536AB" w14:textId="77777777" w:rsidR="003E379A" w:rsidRPr="00932343" w:rsidRDefault="003E379A" w:rsidP="003E379A">
            <w:pPr>
              <w:rPr>
                <w:u w:val="single"/>
              </w:rPr>
            </w:pPr>
            <w:r w:rsidRPr="00932343">
              <w:rPr>
                <w:u w:val="single"/>
              </w:rPr>
              <w:t>Questions from SEAC’s Legislative Committee (per Ivalee Sinclair)</w:t>
            </w:r>
          </w:p>
          <w:p w14:paraId="11A5E5E7" w14:textId="77777777" w:rsidR="00575FBF" w:rsidRDefault="003E379A" w:rsidP="00324147">
            <w:pPr>
              <w:rPr>
                <w:szCs w:val="24"/>
              </w:rPr>
            </w:pPr>
            <w:r w:rsidRPr="00932343">
              <w:rPr>
                <w:szCs w:val="24"/>
              </w:rPr>
              <w:t>for them?</w:t>
            </w:r>
            <w:r>
              <w:rPr>
                <w:szCs w:val="24"/>
              </w:rPr>
              <w:t xml:space="preserve">  A.  We would have to find the money within the budget.</w:t>
            </w:r>
          </w:p>
          <w:p w14:paraId="19F4E7A9" w14:textId="0487DDBE" w:rsidR="003B0D4A" w:rsidRPr="00924864" w:rsidRDefault="003B0D4A" w:rsidP="00324147">
            <w:r>
              <w:rPr>
                <w:szCs w:val="24"/>
              </w:rPr>
              <w:t>Ivalee concluded her questioning with information that the Legislature is constitutionally responsible for funding education.  Amy added that the Hawaii constitution also requires the Governor to maintain a balanced budget.  That’s why restrictions come into play.</w:t>
            </w:r>
          </w:p>
        </w:tc>
        <w:tc>
          <w:tcPr>
            <w:tcW w:w="3060" w:type="dxa"/>
            <w:tcBorders>
              <w:top w:val="single" w:sz="6" w:space="0" w:color="auto"/>
              <w:left w:val="single" w:sz="6" w:space="0" w:color="auto"/>
              <w:bottom w:val="single" w:sz="6" w:space="0" w:color="auto"/>
              <w:right w:val="single" w:sz="6" w:space="0" w:color="auto"/>
            </w:tcBorders>
          </w:tcPr>
          <w:p w14:paraId="33F4FF23" w14:textId="3C0E6E25" w:rsidR="009B1E69" w:rsidRPr="00606469" w:rsidRDefault="009B1E69" w:rsidP="007B7E53"/>
        </w:tc>
      </w:tr>
      <w:tr w:rsidR="009F6AD3" w14:paraId="0D7BC2F5" w14:textId="77777777" w:rsidTr="007B7E53">
        <w:tc>
          <w:tcPr>
            <w:tcW w:w="2780" w:type="dxa"/>
            <w:tcBorders>
              <w:top w:val="single" w:sz="6" w:space="0" w:color="auto"/>
              <w:left w:val="single" w:sz="6" w:space="0" w:color="auto"/>
              <w:bottom w:val="single" w:sz="6" w:space="0" w:color="auto"/>
              <w:right w:val="single" w:sz="6" w:space="0" w:color="auto"/>
            </w:tcBorders>
          </w:tcPr>
          <w:p w14:paraId="2A786117" w14:textId="467E555B" w:rsidR="009F6AD3" w:rsidRPr="00C73237" w:rsidRDefault="009F6AD3" w:rsidP="009F6AD3">
            <w:pPr>
              <w:rPr>
                <w:b/>
                <w:szCs w:val="24"/>
              </w:rPr>
            </w:pPr>
            <w:r>
              <w:rPr>
                <w:b/>
                <w:szCs w:val="24"/>
              </w:rPr>
              <w:t xml:space="preserve">Review of the Minutes for January 11, 2019 </w:t>
            </w:r>
          </w:p>
        </w:tc>
        <w:tc>
          <w:tcPr>
            <w:tcW w:w="7380" w:type="dxa"/>
            <w:tcBorders>
              <w:top w:val="single" w:sz="6" w:space="0" w:color="auto"/>
              <w:left w:val="single" w:sz="6" w:space="0" w:color="auto"/>
              <w:bottom w:val="single" w:sz="6" w:space="0" w:color="auto"/>
              <w:right w:val="single" w:sz="6" w:space="0" w:color="auto"/>
            </w:tcBorders>
          </w:tcPr>
          <w:p w14:paraId="67317CFB" w14:textId="779D70C7" w:rsidR="009F6AD3" w:rsidRPr="009F6AD3" w:rsidRDefault="009F6AD3" w:rsidP="003E379A">
            <w:r w:rsidRPr="009F6AD3">
              <w:t>No changes were made to the minutes.</w:t>
            </w:r>
          </w:p>
        </w:tc>
        <w:tc>
          <w:tcPr>
            <w:tcW w:w="3060" w:type="dxa"/>
            <w:tcBorders>
              <w:top w:val="single" w:sz="6" w:space="0" w:color="auto"/>
              <w:left w:val="single" w:sz="6" w:space="0" w:color="auto"/>
              <w:bottom w:val="single" w:sz="6" w:space="0" w:color="auto"/>
              <w:right w:val="single" w:sz="6" w:space="0" w:color="auto"/>
            </w:tcBorders>
          </w:tcPr>
          <w:p w14:paraId="709489EA" w14:textId="6DFC71A2" w:rsidR="009F6AD3" w:rsidRPr="00606469" w:rsidRDefault="009F6AD3" w:rsidP="007B7E53">
            <w:r>
              <w:t>The minutes were approved as distributed.</w:t>
            </w:r>
          </w:p>
        </w:tc>
      </w:tr>
      <w:tr w:rsidR="009F6AD3" w14:paraId="2834DA6B" w14:textId="77777777" w:rsidTr="007B7E53">
        <w:tc>
          <w:tcPr>
            <w:tcW w:w="2780" w:type="dxa"/>
            <w:tcBorders>
              <w:top w:val="single" w:sz="6" w:space="0" w:color="auto"/>
              <w:left w:val="single" w:sz="6" w:space="0" w:color="auto"/>
              <w:bottom w:val="single" w:sz="6" w:space="0" w:color="auto"/>
              <w:right w:val="single" w:sz="6" w:space="0" w:color="auto"/>
            </w:tcBorders>
          </w:tcPr>
          <w:p w14:paraId="1CDDB1A8" w14:textId="70C7036A" w:rsidR="009F6AD3" w:rsidRDefault="0003310F" w:rsidP="0053597F">
            <w:pPr>
              <w:rPr>
                <w:b/>
                <w:szCs w:val="24"/>
              </w:rPr>
            </w:pPr>
            <w:r>
              <w:rPr>
                <w:b/>
                <w:szCs w:val="24"/>
              </w:rPr>
              <w:t>Agenda Setting for the March 8</w:t>
            </w:r>
            <w:r w:rsidRPr="0003310F">
              <w:rPr>
                <w:b/>
                <w:szCs w:val="24"/>
                <w:vertAlign w:val="superscript"/>
              </w:rPr>
              <w:t>th</w:t>
            </w:r>
            <w:r>
              <w:rPr>
                <w:b/>
                <w:szCs w:val="24"/>
              </w:rPr>
              <w:t xml:space="preserve"> </w:t>
            </w:r>
            <w:r w:rsidR="0053597F">
              <w:rPr>
                <w:b/>
                <w:szCs w:val="24"/>
              </w:rPr>
              <w:t>M</w:t>
            </w:r>
            <w:r>
              <w:rPr>
                <w:b/>
                <w:szCs w:val="24"/>
              </w:rPr>
              <w:t>eeting</w:t>
            </w:r>
          </w:p>
        </w:tc>
        <w:tc>
          <w:tcPr>
            <w:tcW w:w="7380" w:type="dxa"/>
            <w:tcBorders>
              <w:top w:val="single" w:sz="6" w:space="0" w:color="auto"/>
              <w:left w:val="single" w:sz="6" w:space="0" w:color="auto"/>
              <w:bottom w:val="single" w:sz="6" w:space="0" w:color="auto"/>
              <w:right w:val="single" w:sz="6" w:space="0" w:color="auto"/>
            </w:tcBorders>
          </w:tcPr>
          <w:p w14:paraId="1DDAF2D2" w14:textId="77777777" w:rsidR="009F6AD3" w:rsidRDefault="0053597F" w:rsidP="003E379A">
            <w:r>
              <w:t>Three main agenda items were highlighted:</w:t>
            </w:r>
          </w:p>
          <w:p w14:paraId="2C9CCCB4" w14:textId="77777777" w:rsidR="0053597F" w:rsidRDefault="0053597F" w:rsidP="003E379A">
            <w:r>
              <w:t xml:space="preserve">   • Dialogue with Deputy Superintendent Unebasami,</w:t>
            </w:r>
          </w:p>
          <w:p w14:paraId="5DD71047" w14:textId="77777777" w:rsidR="0053597F" w:rsidRDefault="0053597F" w:rsidP="003E379A">
            <w:r>
              <w:t xml:space="preserve">   • An update from the Legislative Committee, and</w:t>
            </w:r>
          </w:p>
          <w:p w14:paraId="7FF53991" w14:textId="5831201F" w:rsidR="0053597F" w:rsidRPr="009F6AD3" w:rsidRDefault="0053597F" w:rsidP="003E379A">
            <w:r>
              <w:t xml:space="preserve">   • Continued Infographic Work Group refinement of draft infographics.</w:t>
            </w:r>
          </w:p>
        </w:tc>
        <w:tc>
          <w:tcPr>
            <w:tcW w:w="3060" w:type="dxa"/>
            <w:tcBorders>
              <w:top w:val="single" w:sz="6" w:space="0" w:color="auto"/>
              <w:left w:val="single" w:sz="6" w:space="0" w:color="auto"/>
              <w:bottom w:val="single" w:sz="6" w:space="0" w:color="auto"/>
              <w:right w:val="single" w:sz="6" w:space="0" w:color="auto"/>
            </w:tcBorders>
          </w:tcPr>
          <w:p w14:paraId="7DAE7113" w14:textId="77777777" w:rsidR="009F6AD3" w:rsidRDefault="009F6AD3" w:rsidP="007B7E53"/>
        </w:tc>
      </w:tr>
      <w:tr w:rsidR="0053597F" w14:paraId="221C76C8" w14:textId="77777777" w:rsidTr="007B7E53">
        <w:tc>
          <w:tcPr>
            <w:tcW w:w="2780" w:type="dxa"/>
            <w:tcBorders>
              <w:top w:val="single" w:sz="6" w:space="0" w:color="auto"/>
              <w:left w:val="single" w:sz="6" w:space="0" w:color="auto"/>
              <w:bottom w:val="single" w:sz="6" w:space="0" w:color="auto"/>
              <w:right w:val="single" w:sz="6" w:space="0" w:color="auto"/>
            </w:tcBorders>
          </w:tcPr>
          <w:p w14:paraId="7818620E" w14:textId="3905A1A9" w:rsidR="0053597F" w:rsidRDefault="0053597F" w:rsidP="0053597F">
            <w:pPr>
              <w:rPr>
                <w:b/>
                <w:szCs w:val="24"/>
              </w:rPr>
            </w:pPr>
            <w:r>
              <w:rPr>
                <w:b/>
                <w:szCs w:val="24"/>
              </w:rPr>
              <w:t>Infographic Work Group Meetings</w:t>
            </w:r>
          </w:p>
        </w:tc>
        <w:tc>
          <w:tcPr>
            <w:tcW w:w="7380" w:type="dxa"/>
            <w:tcBorders>
              <w:top w:val="single" w:sz="6" w:space="0" w:color="auto"/>
              <w:left w:val="single" w:sz="6" w:space="0" w:color="auto"/>
              <w:bottom w:val="single" w:sz="6" w:space="0" w:color="auto"/>
              <w:right w:val="single" w:sz="6" w:space="0" w:color="auto"/>
            </w:tcBorders>
          </w:tcPr>
          <w:p w14:paraId="5A76ABCB" w14:textId="16FFF8DD" w:rsidR="0053597F" w:rsidRDefault="0053597F" w:rsidP="003E379A">
            <w:r>
              <w:t xml:space="preserve">Members gathered in their prospective work groups to discuss incorporating feedback from the </w:t>
            </w:r>
            <w:r w:rsidR="00621A24">
              <w:t>January meeting and how to put together dialogue guides.</w:t>
            </w:r>
          </w:p>
        </w:tc>
        <w:tc>
          <w:tcPr>
            <w:tcW w:w="3060" w:type="dxa"/>
            <w:tcBorders>
              <w:top w:val="single" w:sz="6" w:space="0" w:color="auto"/>
              <w:left w:val="single" w:sz="6" w:space="0" w:color="auto"/>
              <w:bottom w:val="single" w:sz="6" w:space="0" w:color="auto"/>
              <w:right w:val="single" w:sz="6" w:space="0" w:color="auto"/>
            </w:tcBorders>
          </w:tcPr>
          <w:p w14:paraId="15A97C91" w14:textId="77777777" w:rsidR="0053597F" w:rsidRDefault="0053597F" w:rsidP="007B7E53"/>
        </w:tc>
      </w:tr>
    </w:tbl>
    <w:p w14:paraId="0EABFFBC" w14:textId="0F8FAC7A" w:rsidR="009F6AD3" w:rsidRDefault="00716074">
      <w:r>
        <w:t xml:space="preserve">  </w:t>
      </w:r>
    </w:p>
    <w:sectPr w:rsidR="009F6AD3">
      <w:headerReference w:type="even" r:id="rId9"/>
      <w:headerReference w:type="default" r:id="rId10"/>
      <w:footerReference w:type="even" r:id="rId11"/>
      <w:footerReference w:type="default" r:id="rId12"/>
      <w:headerReference w:type="first" r:id="rId13"/>
      <w:footerReference w:type="first" r:id="rId14"/>
      <w:pgSz w:w="15840" w:h="12240" w:orient="landscape"/>
      <w:pgMar w:top="1152" w:right="1440" w:bottom="72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F1B571" w14:textId="77777777" w:rsidR="00D16F4F" w:rsidRDefault="00D16F4F">
      <w:r>
        <w:separator/>
      </w:r>
    </w:p>
  </w:endnote>
  <w:endnote w:type="continuationSeparator" w:id="0">
    <w:p w14:paraId="6C7A08F5" w14:textId="77777777" w:rsidR="00D16F4F" w:rsidRDefault="00D16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Yu Mincho">
    <w:panose1 w:val="02020400000000000000"/>
    <w:charset w:val="80"/>
    <w:family w:val="auto"/>
    <w:pitch w:val="variable"/>
    <w:sig w:usb0="800002E7" w:usb1="2AC7FCFF"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36696A" w14:textId="77777777" w:rsidR="00CD4FAC" w:rsidRDefault="00CD4FA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2616B8" w14:textId="77777777" w:rsidR="00CD4FAC" w:rsidRDefault="00CD4FAC">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AF0216" w14:textId="77777777" w:rsidR="00CD4FAC" w:rsidRDefault="00CD4FA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A8FD80" w14:textId="77777777" w:rsidR="00D16F4F" w:rsidRDefault="00D16F4F">
      <w:r>
        <w:separator/>
      </w:r>
    </w:p>
  </w:footnote>
  <w:footnote w:type="continuationSeparator" w:id="0">
    <w:p w14:paraId="463BD325" w14:textId="77777777" w:rsidR="00D16F4F" w:rsidRDefault="00D16F4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94678A" w14:textId="77777777" w:rsidR="00CD4FAC" w:rsidRDefault="00CD4FA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F6D771" w14:textId="65A3E671" w:rsidR="00BE03AC" w:rsidRPr="00853E75" w:rsidRDefault="00CD4FAC">
    <w:pPr>
      <w:pStyle w:val="Header"/>
      <w:jc w:val="right"/>
      <w:rPr>
        <w:u w:val="single"/>
      </w:rPr>
    </w:pPr>
    <w:r>
      <w:rPr>
        <w:u w:val="single"/>
      </w:rPr>
      <w:t>Approved as Corrected</w:t>
    </w:r>
    <w:bookmarkStart w:id="0" w:name="_GoBack"/>
    <w:bookmarkEnd w:id="0"/>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113E8F" w14:textId="77777777" w:rsidR="00CD4FAC" w:rsidRDefault="00CD4FA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623B1"/>
    <w:multiLevelType w:val="hybridMultilevel"/>
    <w:tmpl w:val="E24C29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B25979"/>
    <w:multiLevelType w:val="hybridMultilevel"/>
    <w:tmpl w:val="75F47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BF0991"/>
    <w:multiLevelType w:val="hybridMultilevel"/>
    <w:tmpl w:val="9B8CB330"/>
    <w:lvl w:ilvl="0" w:tplc="21CE20A4">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nsid w:val="53CB6B17"/>
    <w:multiLevelType w:val="hybridMultilevel"/>
    <w:tmpl w:val="2B4EC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2DA17CC"/>
    <w:multiLevelType w:val="hybridMultilevel"/>
    <w:tmpl w:val="C8CE1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9884AD3"/>
    <w:multiLevelType w:val="hybridMultilevel"/>
    <w:tmpl w:val="6ACECA0A"/>
    <w:lvl w:ilvl="0" w:tplc="0409000F">
      <w:start w:val="1"/>
      <w:numFmt w:val="decimal"/>
      <w:lvlText w:val="%1."/>
      <w:lvlJc w:val="left"/>
      <w:pPr>
        <w:ind w:left="730" w:hanging="360"/>
      </w:pPr>
    </w:lvl>
    <w:lvl w:ilvl="1" w:tplc="04090019" w:tentative="1">
      <w:start w:val="1"/>
      <w:numFmt w:val="lowerLetter"/>
      <w:lvlText w:val="%2."/>
      <w:lvlJc w:val="left"/>
      <w:pPr>
        <w:ind w:left="1450" w:hanging="360"/>
      </w:pPr>
    </w:lvl>
    <w:lvl w:ilvl="2" w:tplc="0409001B" w:tentative="1">
      <w:start w:val="1"/>
      <w:numFmt w:val="lowerRoman"/>
      <w:lvlText w:val="%3."/>
      <w:lvlJc w:val="right"/>
      <w:pPr>
        <w:ind w:left="2170" w:hanging="180"/>
      </w:pPr>
    </w:lvl>
    <w:lvl w:ilvl="3" w:tplc="0409000F" w:tentative="1">
      <w:start w:val="1"/>
      <w:numFmt w:val="decimal"/>
      <w:lvlText w:val="%4."/>
      <w:lvlJc w:val="left"/>
      <w:pPr>
        <w:ind w:left="2890" w:hanging="360"/>
      </w:pPr>
    </w:lvl>
    <w:lvl w:ilvl="4" w:tplc="04090019" w:tentative="1">
      <w:start w:val="1"/>
      <w:numFmt w:val="lowerLetter"/>
      <w:lvlText w:val="%5."/>
      <w:lvlJc w:val="left"/>
      <w:pPr>
        <w:ind w:left="3610" w:hanging="360"/>
      </w:pPr>
    </w:lvl>
    <w:lvl w:ilvl="5" w:tplc="0409001B" w:tentative="1">
      <w:start w:val="1"/>
      <w:numFmt w:val="lowerRoman"/>
      <w:lvlText w:val="%6."/>
      <w:lvlJc w:val="right"/>
      <w:pPr>
        <w:ind w:left="4330" w:hanging="180"/>
      </w:pPr>
    </w:lvl>
    <w:lvl w:ilvl="6" w:tplc="0409000F" w:tentative="1">
      <w:start w:val="1"/>
      <w:numFmt w:val="decimal"/>
      <w:lvlText w:val="%7."/>
      <w:lvlJc w:val="left"/>
      <w:pPr>
        <w:ind w:left="5050" w:hanging="360"/>
      </w:pPr>
    </w:lvl>
    <w:lvl w:ilvl="7" w:tplc="04090019" w:tentative="1">
      <w:start w:val="1"/>
      <w:numFmt w:val="lowerLetter"/>
      <w:lvlText w:val="%8."/>
      <w:lvlJc w:val="left"/>
      <w:pPr>
        <w:ind w:left="5770" w:hanging="360"/>
      </w:pPr>
    </w:lvl>
    <w:lvl w:ilvl="8" w:tplc="0409001B" w:tentative="1">
      <w:start w:val="1"/>
      <w:numFmt w:val="lowerRoman"/>
      <w:lvlText w:val="%9."/>
      <w:lvlJc w:val="right"/>
      <w:pPr>
        <w:ind w:left="6490" w:hanging="180"/>
      </w:pPr>
    </w:lvl>
  </w:abstractNum>
  <w:abstractNum w:abstractNumId="6">
    <w:nsid w:val="6AB56122"/>
    <w:multiLevelType w:val="hybridMultilevel"/>
    <w:tmpl w:val="BCC0AE66"/>
    <w:lvl w:ilvl="0" w:tplc="2288169C">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nsid w:val="710E7051"/>
    <w:multiLevelType w:val="hybridMultilevel"/>
    <w:tmpl w:val="AA34F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F1809A6"/>
    <w:multiLevelType w:val="hybridMultilevel"/>
    <w:tmpl w:val="E5A8060A"/>
    <w:lvl w:ilvl="0" w:tplc="0F94067A">
      <w:start w:val="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7"/>
  </w:num>
  <w:num w:numId="4">
    <w:abstractNumId w:val="1"/>
  </w:num>
  <w:num w:numId="5">
    <w:abstractNumId w:val="4"/>
  </w:num>
  <w:num w:numId="6">
    <w:abstractNumId w:val="8"/>
  </w:num>
  <w:num w:numId="7">
    <w:abstractNumId w:val="3"/>
  </w:num>
  <w:num w:numId="8">
    <w:abstractNumId w:val="6"/>
  </w:num>
  <w:num w:numId="9">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75A"/>
    <w:rsid w:val="0000175A"/>
    <w:rsid w:val="0000608B"/>
    <w:rsid w:val="0000652C"/>
    <w:rsid w:val="00016D46"/>
    <w:rsid w:val="00017B9E"/>
    <w:rsid w:val="00020ACF"/>
    <w:rsid w:val="00020B23"/>
    <w:rsid w:val="00021838"/>
    <w:rsid w:val="00027061"/>
    <w:rsid w:val="000302C0"/>
    <w:rsid w:val="0003037D"/>
    <w:rsid w:val="00031C75"/>
    <w:rsid w:val="00032A66"/>
    <w:rsid w:val="0003310F"/>
    <w:rsid w:val="00037187"/>
    <w:rsid w:val="00050244"/>
    <w:rsid w:val="00050761"/>
    <w:rsid w:val="00051A1A"/>
    <w:rsid w:val="000520BA"/>
    <w:rsid w:val="00060F07"/>
    <w:rsid w:val="0007450F"/>
    <w:rsid w:val="00075BD8"/>
    <w:rsid w:val="000777C5"/>
    <w:rsid w:val="00077E3D"/>
    <w:rsid w:val="00085213"/>
    <w:rsid w:val="00087792"/>
    <w:rsid w:val="00097F60"/>
    <w:rsid w:val="000B4C2D"/>
    <w:rsid w:val="000C53D1"/>
    <w:rsid w:val="000C5B39"/>
    <w:rsid w:val="000C6A00"/>
    <w:rsid w:val="000C7962"/>
    <w:rsid w:val="000D0715"/>
    <w:rsid w:val="000D0BE4"/>
    <w:rsid w:val="000D35BB"/>
    <w:rsid w:val="000D3A96"/>
    <w:rsid w:val="000D663B"/>
    <w:rsid w:val="000D7360"/>
    <w:rsid w:val="000E3149"/>
    <w:rsid w:val="000E5B7D"/>
    <w:rsid w:val="000E5CF0"/>
    <w:rsid w:val="000E70A3"/>
    <w:rsid w:val="000E72EC"/>
    <w:rsid w:val="000F014F"/>
    <w:rsid w:val="000F079F"/>
    <w:rsid w:val="000F23F9"/>
    <w:rsid w:val="000F2544"/>
    <w:rsid w:val="00107E30"/>
    <w:rsid w:val="00114A7C"/>
    <w:rsid w:val="00117435"/>
    <w:rsid w:val="00117E6F"/>
    <w:rsid w:val="00123801"/>
    <w:rsid w:val="00125380"/>
    <w:rsid w:val="00130E76"/>
    <w:rsid w:val="00141E08"/>
    <w:rsid w:val="001471EB"/>
    <w:rsid w:val="00151C75"/>
    <w:rsid w:val="00152F63"/>
    <w:rsid w:val="00155589"/>
    <w:rsid w:val="00155FA3"/>
    <w:rsid w:val="001572BD"/>
    <w:rsid w:val="00157D91"/>
    <w:rsid w:val="00157F51"/>
    <w:rsid w:val="001655FD"/>
    <w:rsid w:val="0017121E"/>
    <w:rsid w:val="00171857"/>
    <w:rsid w:val="00172302"/>
    <w:rsid w:val="001767B2"/>
    <w:rsid w:val="00182401"/>
    <w:rsid w:val="001832C4"/>
    <w:rsid w:val="001841E5"/>
    <w:rsid w:val="00190696"/>
    <w:rsid w:val="00191C62"/>
    <w:rsid w:val="00192991"/>
    <w:rsid w:val="00193A2F"/>
    <w:rsid w:val="001A7321"/>
    <w:rsid w:val="001B3877"/>
    <w:rsid w:val="001C0F1D"/>
    <w:rsid w:val="001C1710"/>
    <w:rsid w:val="001D0F37"/>
    <w:rsid w:val="001D1FEA"/>
    <w:rsid w:val="001D31A6"/>
    <w:rsid w:val="001D4678"/>
    <w:rsid w:val="002038B1"/>
    <w:rsid w:val="00206231"/>
    <w:rsid w:val="002104F0"/>
    <w:rsid w:val="002140A1"/>
    <w:rsid w:val="00215BC4"/>
    <w:rsid w:val="00220842"/>
    <w:rsid w:val="0022421C"/>
    <w:rsid w:val="002325FF"/>
    <w:rsid w:val="002332DB"/>
    <w:rsid w:val="00233B48"/>
    <w:rsid w:val="00234A3F"/>
    <w:rsid w:val="00237E56"/>
    <w:rsid w:val="00246A7D"/>
    <w:rsid w:val="0024727F"/>
    <w:rsid w:val="00250B3A"/>
    <w:rsid w:val="002655E0"/>
    <w:rsid w:val="0026601C"/>
    <w:rsid w:val="00274388"/>
    <w:rsid w:val="00277A09"/>
    <w:rsid w:val="0028202A"/>
    <w:rsid w:val="002827EC"/>
    <w:rsid w:val="00293F09"/>
    <w:rsid w:val="0029567E"/>
    <w:rsid w:val="00297DB0"/>
    <w:rsid w:val="002A17C2"/>
    <w:rsid w:val="002A370D"/>
    <w:rsid w:val="002A52B4"/>
    <w:rsid w:val="002A7720"/>
    <w:rsid w:val="002B1F2C"/>
    <w:rsid w:val="002B33A1"/>
    <w:rsid w:val="002B3DC0"/>
    <w:rsid w:val="002B3F71"/>
    <w:rsid w:val="002B70D8"/>
    <w:rsid w:val="002C47B3"/>
    <w:rsid w:val="002C4B9F"/>
    <w:rsid w:val="002C664B"/>
    <w:rsid w:val="002D1089"/>
    <w:rsid w:val="002D2455"/>
    <w:rsid w:val="002D499D"/>
    <w:rsid w:val="002D7A29"/>
    <w:rsid w:val="002E0B97"/>
    <w:rsid w:val="002E695B"/>
    <w:rsid w:val="002F074D"/>
    <w:rsid w:val="003070C0"/>
    <w:rsid w:val="00320B4C"/>
    <w:rsid w:val="00324147"/>
    <w:rsid w:val="00324D25"/>
    <w:rsid w:val="003274FE"/>
    <w:rsid w:val="00336095"/>
    <w:rsid w:val="003366C0"/>
    <w:rsid w:val="00340BF1"/>
    <w:rsid w:val="00345C72"/>
    <w:rsid w:val="00347148"/>
    <w:rsid w:val="0034777B"/>
    <w:rsid w:val="00351D85"/>
    <w:rsid w:val="0035440B"/>
    <w:rsid w:val="0035762A"/>
    <w:rsid w:val="003601C0"/>
    <w:rsid w:val="0036145D"/>
    <w:rsid w:val="003620D2"/>
    <w:rsid w:val="0036322C"/>
    <w:rsid w:val="003650FF"/>
    <w:rsid w:val="0036702E"/>
    <w:rsid w:val="003818DD"/>
    <w:rsid w:val="00381DF2"/>
    <w:rsid w:val="00386E59"/>
    <w:rsid w:val="00390AB9"/>
    <w:rsid w:val="00393ECC"/>
    <w:rsid w:val="00397D93"/>
    <w:rsid w:val="00397EAE"/>
    <w:rsid w:val="003A0B39"/>
    <w:rsid w:val="003A0BAD"/>
    <w:rsid w:val="003A2FA5"/>
    <w:rsid w:val="003A398A"/>
    <w:rsid w:val="003A3EA5"/>
    <w:rsid w:val="003B0D4A"/>
    <w:rsid w:val="003B30A3"/>
    <w:rsid w:val="003B3E7F"/>
    <w:rsid w:val="003B492E"/>
    <w:rsid w:val="003C25C5"/>
    <w:rsid w:val="003C2EA4"/>
    <w:rsid w:val="003D083C"/>
    <w:rsid w:val="003D11E4"/>
    <w:rsid w:val="003D2322"/>
    <w:rsid w:val="003D4448"/>
    <w:rsid w:val="003D630E"/>
    <w:rsid w:val="003D6E0F"/>
    <w:rsid w:val="003E379A"/>
    <w:rsid w:val="003E6E6B"/>
    <w:rsid w:val="003F5AA4"/>
    <w:rsid w:val="003F5C80"/>
    <w:rsid w:val="003F6757"/>
    <w:rsid w:val="004007D7"/>
    <w:rsid w:val="0040101E"/>
    <w:rsid w:val="00421E25"/>
    <w:rsid w:val="0042751F"/>
    <w:rsid w:val="00427CA9"/>
    <w:rsid w:val="00432BB3"/>
    <w:rsid w:val="004348B1"/>
    <w:rsid w:val="00435847"/>
    <w:rsid w:val="004463A0"/>
    <w:rsid w:val="00453757"/>
    <w:rsid w:val="0045438D"/>
    <w:rsid w:val="00455738"/>
    <w:rsid w:val="00460612"/>
    <w:rsid w:val="00465C38"/>
    <w:rsid w:val="00472972"/>
    <w:rsid w:val="00473B2C"/>
    <w:rsid w:val="00475359"/>
    <w:rsid w:val="00480382"/>
    <w:rsid w:val="00481795"/>
    <w:rsid w:val="00486891"/>
    <w:rsid w:val="00491315"/>
    <w:rsid w:val="0049249D"/>
    <w:rsid w:val="00495B85"/>
    <w:rsid w:val="00497807"/>
    <w:rsid w:val="00497890"/>
    <w:rsid w:val="004A2948"/>
    <w:rsid w:val="004A7FF7"/>
    <w:rsid w:val="004B37E9"/>
    <w:rsid w:val="004B4EF8"/>
    <w:rsid w:val="004B50E0"/>
    <w:rsid w:val="004B7C9A"/>
    <w:rsid w:val="004C134B"/>
    <w:rsid w:val="004C25A4"/>
    <w:rsid w:val="004C4AF2"/>
    <w:rsid w:val="004D2CF0"/>
    <w:rsid w:val="004D44FC"/>
    <w:rsid w:val="004D5594"/>
    <w:rsid w:val="004E22E5"/>
    <w:rsid w:val="004E3D37"/>
    <w:rsid w:val="004E7218"/>
    <w:rsid w:val="004F0103"/>
    <w:rsid w:val="004F60F6"/>
    <w:rsid w:val="00500E4B"/>
    <w:rsid w:val="00504CD8"/>
    <w:rsid w:val="00505649"/>
    <w:rsid w:val="005103BE"/>
    <w:rsid w:val="0051157C"/>
    <w:rsid w:val="005207AE"/>
    <w:rsid w:val="005252B5"/>
    <w:rsid w:val="00525606"/>
    <w:rsid w:val="00526304"/>
    <w:rsid w:val="00530666"/>
    <w:rsid w:val="0053583B"/>
    <w:rsid w:val="0053597F"/>
    <w:rsid w:val="005363EA"/>
    <w:rsid w:val="00541FEA"/>
    <w:rsid w:val="005426B3"/>
    <w:rsid w:val="00543E71"/>
    <w:rsid w:val="0054425D"/>
    <w:rsid w:val="00545682"/>
    <w:rsid w:val="00550B18"/>
    <w:rsid w:val="0055140E"/>
    <w:rsid w:val="005579E9"/>
    <w:rsid w:val="00557C3D"/>
    <w:rsid w:val="00564D74"/>
    <w:rsid w:val="005669DE"/>
    <w:rsid w:val="00575FBF"/>
    <w:rsid w:val="005912D7"/>
    <w:rsid w:val="00591901"/>
    <w:rsid w:val="00593A98"/>
    <w:rsid w:val="005A146B"/>
    <w:rsid w:val="005A3E39"/>
    <w:rsid w:val="005B41E9"/>
    <w:rsid w:val="005C025C"/>
    <w:rsid w:val="005C0620"/>
    <w:rsid w:val="005C15F6"/>
    <w:rsid w:val="005C30F7"/>
    <w:rsid w:val="005C3854"/>
    <w:rsid w:val="005C67F5"/>
    <w:rsid w:val="005D529F"/>
    <w:rsid w:val="005D77A3"/>
    <w:rsid w:val="005D78AA"/>
    <w:rsid w:val="005E2036"/>
    <w:rsid w:val="005E2CDD"/>
    <w:rsid w:val="005F008D"/>
    <w:rsid w:val="005F3431"/>
    <w:rsid w:val="005F6114"/>
    <w:rsid w:val="00606315"/>
    <w:rsid w:val="00606469"/>
    <w:rsid w:val="00607394"/>
    <w:rsid w:val="006163FC"/>
    <w:rsid w:val="00621A24"/>
    <w:rsid w:val="00624341"/>
    <w:rsid w:val="00624E57"/>
    <w:rsid w:val="0062637E"/>
    <w:rsid w:val="00637538"/>
    <w:rsid w:val="0064079A"/>
    <w:rsid w:val="00641215"/>
    <w:rsid w:val="0064481F"/>
    <w:rsid w:val="00644A04"/>
    <w:rsid w:val="00644C88"/>
    <w:rsid w:val="00646AE3"/>
    <w:rsid w:val="00646E44"/>
    <w:rsid w:val="0064797E"/>
    <w:rsid w:val="00655CDA"/>
    <w:rsid w:val="00656079"/>
    <w:rsid w:val="0065618E"/>
    <w:rsid w:val="00657012"/>
    <w:rsid w:val="00657359"/>
    <w:rsid w:val="0066001D"/>
    <w:rsid w:val="0066412B"/>
    <w:rsid w:val="00666E59"/>
    <w:rsid w:val="006718B9"/>
    <w:rsid w:val="006724AE"/>
    <w:rsid w:val="00674740"/>
    <w:rsid w:val="00677371"/>
    <w:rsid w:val="00682F24"/>
    <w:rsid w:val="0068300B"/>
    <w:rsid w:val="00685836"/>
    <w:rsid w:val="0068675E"/>
    <w:rsid w:val="006A07DF"/>
    <w:rsid w:val="006A331C"/>
    <w:rsid w:val="006B2F83"/>
    <w:rsid w:val="006B6DA3"/>
    <w:rsid w:val="006B6F29"/>
    <w:rsid w:val="006C5060"/>
    <w:rsid w:val="006C7F21"/>
    <w:rsid w:val="006D0AF4"/>
    <w:rsid w:val="006D0EC9"/>
    <w:rsid w:val="006D1702"/>
    <w:rsid w:val="006D28AD"/>
    <w:rsid w:val="006D2A4C"/>
    <w:rsid w:val="006D47AC"/>
    <w:rsid w:val="006E44D2"/>
    <w:rsid w:val="006F18A5"/>
    <w:rsid w:val="006F1CC2"/>
    <w:rsid w:val="00701D68"/>
    <w:rsid w:val="0070231C"/>
    <w:rsid w:val="0071596F"/>
    <w:rsid w:val="00716074"/>
    <w:rsid w:val="00717F87"/>
    <w:rsid w:val="0072318A"/>
    <w:rsid w:val="00727221"/>
    <w:rsid w:val="00731AA9"/>
    <w:rsid w:val="007426B0"/>
    <w:rsid w:val="00747AE2"/>
    <w:rsid w:val="00750B57"/>
    <w:rsid w:val="00753FF8"/>
    <w:rsid w:val="00754E22"/>
    <w:rsid w:val="007576F5"/>
    <w:rsid w:val="0076466E"/>
    <w:rsid w:val="0077651A"/>
    <w:rsid w:val="00791FA8"/>
    <w:rsid w:val="00792C69"/>
    <w:rsid w:val="007A3084"/>
    <w:rsid w:val="007A4EC6"/>
    <w:rsid w:val="007B7E53"/>
    <w:rsid w:val="007C7299"/>
    <w:rsid w:val="007D267D"/>
    <w:rsid w:val="007D2A74"/>
    <w:rsid w:val="007D6CAC"/>
    <w:rsid w:val="007D782D"/>
    <w:rsid w:val="007E263F"/>
    <w:rsid w:val="007E6788"/>
    <w:rsid w:val="007F1C84"/>
    <w:rsid w:val="007F3140"/>
    <w:rsid w:val="007F35A7"/>
    <w:rsid w:val="007F4C86"/>
    <w:rsid w:val="00800B18"/>
    <w:rsid w:val="00810497"/>
    <w:rsid w:val="00820DB1"/>
    <w:rsid w:val="00820DD5"/>
    <w:rsid w:val="00821602"/>
    <w:rsid w:val="0082556D"/>
    <w:rsid w:val="00827290"/>
    <w:rsid w:val="00827AE4"/>
    <w:rsid w:val="00831B02"/>
    <w:rsid w:val="00845F3E"/>
    <w:rsid w:val="00847698"/>
    <w:rsid w:val="00850D8B"/>
    <w:rsid w:val="00853E75"/>
    <w:rsid w:val="008543CA"/>
    <w:rsid w:val="00873DD2"/>
    <w:rsid w:val="00876028"/>
    <w:rsid w:val="00882A38"/>
    <w:rsid w:val="008934FE"/>
    <w:rsid w:val="00894581"/>
    <w:rsid w:val="00894E69"/>
    <w:rsid w:val="008B0F61"/>
    <w:rsid w:val="008B2844"/>
    <w:rsid w:val="008B58D4"/>
    <w:rsid w:val="008C704C"/>
    <w:rsid w:val="008D23B0"/>
    <w:rsid w:val="008D3790"/>
    <w:rsid w:val="008E30D6"/>
    <w:rsid w:val="008F3955"/>
    <w:rsid w:val="008F49CA"/>
    <w:rsid w:val="008F6E73"/>
    <w:rsid w:val="009023F1"/>
    <w:rsid w:val="00906C4D"/>
    <w:rsid w:val="00910C50"/>
    <w:rsid w:val="00912112"/>
    <w:rsid w:val="00916801"/>
    <w:rsid w:val="00924864"/>
    <w:rsid w:val="009309C9"/>
    <w:rsid w:val="00930E29"/>
    <w:rsid w:val="00932343"/>
    <w:rsid w:val="009441CC"/>
    <w:rsid w:val="00951C0A"/>
    <w:rsid w:val="009551D8"/>
    <w:rsid w:val="00955B9C"/>
    <w:rsid w:val="009571D2"/>
    <w:rsid w:val="00966EA3"/>
    <w:rsid w:val="00970A4C"/>
    <w:rsid w:val="00971BDF"/>
    <w:rsid w:val="00972464"/>
    <w:rsid w:val="009775B6"/>
    <w:rsid w:val="00977801"/>
    <w:rsid w:val="0099711C"/>
    <w:rsid w:val="009B1E69"/>
    <w:rsid w:val="009B4053"/>
    <w:rsid w:val="009B4AE0"/>
    <w:rsid w:val="009B4B1B"/>
    <w:rsid w:val="009C236E"/>
    <w:rsid w:val="009C37AD"/>
    <w:rsid w:val="009C70D2"/>
    <w:rsid w:val="009E60C7"/>
    <w:rsid w:val="009E7900"/>
    <w:rsid w:val="009E7B3C"/>
    <w:rsid w:val="009F26C7"/>
    <w:rsid w:val="009F6AD3"/>
    <w:rsid w:val="00A02818"/>
    <w:rsid w:val="00A03F9C"/>
    <w:rsid w:val="00A042F4"/>
    <w:rsid w:val="00A04F30"/>
    <w:rsid w:val="00A147B0"/>
    <w:rsid w:val="00A22D62"/>
    <w:rsid w:val="00A255DA"/>
    <w:rsid w:val="00A26C84"/>
    <w:rsid w:val="00A308F4"/>
    <w:rsid w:val="00A32392"/>
    <w:rsid w:val="00A336D3"/>
    <w:rsid w:val="00A355C0"/>
    <w:rsid w:val="00A36D4F"/>
    <w:rsid w:val="00A3780D"/>
    <w:rsid w:val="00A420B9"/>
    <w:rsid w:val="00A523F0"/>
    <w:rsid w:val="00A531DA"/>
    <w:rsid w:val="00A71B54"/>
    <w:rsid w:val="00A73474"/>
    <w:rsid w:val="00A73964"/>
    <w:rsid w:val="00A7426F"/>
    <w:rsid w:val="00A75B5D"/>
    <w:rsid w:val="00A82828"/>
    <w:rsid w:val="00A84741"/>
    <w:rsid w:val="00A860FC"/>
    <w:rsid w:val="00A91D4B"/>
    <w:rsid w:val="00AA308B"/>
    <w:rsid w:val="00AA4D2F"/>
    <w:rsid w:val="00AA5BC3"/>
    <w:rsid w:val="00AA7373"/>
    <w:rsid w:val="00AC26D3"/>
    <w:rsid w:val="00AC47BC"/>
    <w:rsid w:val="00AE13E7"/>
    <w:rsid w:val="00AE65CF"/>
    <w:rsid w:val="00AF0297"/>
    <w:rsid w:val="00AF0418"/>
    <w:rsid w:val="00AF0F29"/>
    <w:rsid w:val="00AF3E83"/>
    <w:rsid w:val="00AF3F1B"/>
    <w:rsid w:val="00B00628"/>
    <w:rsid w:val="00B00D50"/>
    <w:rsid w:val="00B02E06"/>
    <w:rsid w:val="00B20D0D"/>
    <w:rsid w:val="00B2230D"/>
    <w:rsid w:val="00B23102"/>
    <w:rsid w:val="00B3459C"/>
    <w:rsid w:val="00B51991"/>
    <w:rsid w:val="00B61A7F"/>
    <w:rsid w:val="00B65693"/>
    <w:rsid w:val="00B719E4"/>
    <w:rsid w:val="00B73754"/>
    <w:rsid w:val="00B772BE"/>
    <w:rsid w:val="00B81404"/>
    <w:rsid w:val="00B87529"/>
    <w:rsid w:val="00B87935"/>
    <w:rsid w:val="00B87BFA"/>
    <w:rsid w:val="00B924FD"/>
    <w:rsid w:val="00B930FC"/>
    <w:rsid w:val="00BA06E5"/>
    <w:rsid w:val="00BA5D28"/>
    <w:rsid w:val="00BA5F45"/>
    <w:rsid w:val="00BA6547"/>
    <w:rsid w:val="00BD1071"/>
    <w:rsid w:val="00BD3DEE"/>
    <w:rsid w:val="00BD6581"/>
    <w:rsid w:val="00BE03AC"/>
    <w:rsid w:val="00BE4424"/>
    <w:rsid w:val="00BE44F7"/>
    <w:rsid w:val="00BF6350"/>
    <w:rsid w:val="00C0052A"/>
    <w:rsid w:val="00C0642E"/>
    <w:rsid w:val="00C07C4E"/>
    <w:rsid w:val="00C1071B"/>
    <w:rsid w:val="00C16F41"/>
    <w:rsid w:val="00C21178"/>
    <w:rsid w:val="00C21D52"/>
    <w:rsid w:val="00C21D6A"/>
    <w:rsid w:val="00C23623"/>
    <w:rsid w:val="00C24F62"/>
    <w:rsid w:val="00C25365"/>
    <w:rsid w:val="00C348CA"/>
    <w:rsid w:val="00C43218"/>
    <w:rsid w:val="00C51DF4"/>
    <w:rsid w:val="00C52B74"/>
    <w:rsid w:val="00C57961"/>
    <w:rsid w:val="00C601FF"/>
    <w:rsid w:val="00C60264"/>
    <w:rsid w:val="00C6187D"/>
    <w:rsid w:val="00C63016"/>
    <w:rsid w:val="00C6613A"/>
    <w:rsid w:val="00C73237"/>
    <w:rsid w:val="00C73BE2"/>
    <w:rsid w:val="00C75987"/>
    <w:rsid w:val="00C91F55"/>
    <w:rsid w:val="00C91FFC"/>
    <w:rsid w:val="00C9356A"/>
    <w:rsid w:val="00CA4200"/>
    <w:rsid w:val="00CA6221"/>
    <w:rsid w:val="00CB4DD7"/>
    <w:rsid w:val="00CB6861"/>
    <w:rsid w:val="00CC1290"/>
    <w:rsid w:val="00CC38E7"/>
    <w:rsid w:val="00CC5711"/>
    <w:rsid w:val="00CD2BD9"/>
    <w:rsid w:val="00CD4FAC"/>
    <w:rsid w:val="00CF45D5"/>
    <w:rsid w:val="00D052BF"/>
    <w:rsid w:val="00D0698A"/>
    <w:rsid w:val="00D132B2"/>
    <w:rsid w:val="00D16F4F"/>
    <w:rsid w:val="00D338FB"/>
    <w:rsid w:val="00D33A4A"/>
    <w:rsid w:val="00D33E5D"/>
    <w:rsid w:val="00D34FEA"/>
    <w:rsid w:val="00D50F7D"/>
    <w:rsid w:val="00D52619"/>
    <w:rsid w:val="00D53B20"/>
    <w:rsid w:val="00D60626"/>
    <w:rsid w:val="00D736D4"/>
    <w:rsid w:val="00D849F0"/>
    <w:rsid w:val="00D850B7"/>
    <w:rsid w:val="00D8586C"/>
    <w:rsid w:val="00D86286"/>
    <w:rsid w:val="00D9160C"/>
    <w:rsid w:val="00DA3935"/>
    <w:rsid w:val="00DB03F2"/>
    <w:rsid w:val="00DB054B"/>
    <w:rsid w:val="00DB4B3B"/>
    <w:rsid w:val="00DB5810"/>
    <w:rsid w:val="00DB7966"/>
    <w:rsid w:val="00DC2DCE"/>
    <w:rsid w:val="00DC3D47"/>
    <w:rsid w:val="00DC50D5"/>
    <w:rsid w:val="00DC7B19"/>
    <w:rsid w:val="00DD21F8"/>
    <w:rsid w:val="00DD6468"/>
    <w:rsid w:val="00DD6ED3"/>
    <w:rsid w:val="00DD7007"/>
    <w:rsid w:val="00DE1E47"/>
    <w:rsid w:val="00DE2AE3"/>
    <w:rsid w:val="00DE3DB0"/>
    <w:rsid w:val="00DE57E2"/>
    <w:rsid w:val="00DE580A"/>
    <w:rsid w:val="00DE654C"/>
    <w:rsid w:val="00DF121F"/>
    <w:rsid w:val="00DF5330"/>
    <w:rsid w:val="00E01412"/>
    <w:rsid w:val="00E0521C"/>
    <w:rsid w:val="00E10841"/>
    <w:rsid w:val="00E1508E"/>
    <w:rsid w:val="00E16828"/>
    <w:rsid w:val="00E25230"/>
    <w:rsid w:val="00E26F33"/>
    <w:rsid w:val="00E33D3B"/>
    <w:rsid w:val="00E35F22"/>
    <w:rsid w:val="00E37745"/>
    <w:rsid w:val="00E4440C"/>
    <w:rsid w:val="00E47516"/>
    <w:rsid w:val="00E52F15"/>
    <w:rsid w:val="00E5493E"/>
    <w:rsid w:val="00E54DF3"/>
    <w:rsid w:val="00E560DB"/>
    <w:rsid w:val="00E57AE9"/>
    <w:rsid w:val="00E60CF5"/>
    <w:rsid w:val="00E64F6C"/>
    <w:rsid w:val="00E67EA0"/>
    <w:rsid w:val="00E716E5"/>
    <w:rsid w:val="00E730F5"/>
    <w:rsid w:val="00E75A10"/>
    <w:rsid w:val="00E82EB0"/>
    <w:rsid w:val="00E86CCD"/>
    <w:rsid w:val="00E87B3B"/>
    <w:rsid w:val="00E9152A"/>
    <w:rsid w:val="00E94D09"/>
    <w:rsid w:val="00E9724C"/>
    <w:rsid w:val="00EA2FDB"/>
    <w:rsid w:val="00EA6900"/>
    <w:rsid w:val="00EA69B6"/>
    <w:rsid w:val="00EB2900"/>
    <w:rsid w:val="00EB7D1C"/>
    <w:rsid w:val="00EC7545"/>
    <w:rsid w:val="00EE150B"/>
    <w:rsid w:val="00EE2F99"/>
    <w:rsid w:val="00EE4943"/>
    <w:rsid w:val="00EE55EE"/>
    <w:rsid w:val="00EE698E"/>
    <w:rsid w:val="00EF32B3"/>
    <w:rsid w:val="00EF4995"/>
    <w:rsid w:val="00EF668E"/>
    <w:rsid w:val="00EF7E4A"/>
    <w:rsid w:val="00F0102C"/>
    <w:rsid w:val="00F016CB"/>
    <w:rsid w:val="00F06050"/>
    <w:rsid w:val="00F0684F"/>
    <w:rsid w:val="00F07821"/>
    <w:rsid w:val="00F138A5"/>
    <w:rsid w:val="00F15CA6"/>
    <w:rsid w:val="00F15DD5"/>
    <w:rsid w:val="00F15EF5"/>
    <w:rsid w:val="00F162BC"/>
    <w:rsid w:val="00F16E7C"/>
    <w:rsid w:val="00F170AB"/>
    <w:rsid w:val="00F20225"/>
    <w:rsid w:val="00F21687"/>
    <w:rsid w:val="00F233CB"/>
    <w:rsid w:val="00F2346E"/>
    <w:rsid w:val="00F37387"/>
    <w:rsid w:val="00F377EA"/>
    <w:rsid w:val="00F41303"/>
    <w:rsid w:val="00F438FB"/>
    <w:rsid w:val="00F50555"/>
    <w:rsid w:val="00F50E6F"/>
    <w:rsid w:val="00F561FF"/>
    <w:rsid w:val="00F60742"/>
    <w:rsid w:val="00F62B08"/>
    <w:rsid w:val="00F633BE"/>
    <w:rsid w:val="00F63FA8"/>
    <w:rsid w:val="00F649C7"/>
    <w:rsid w:val="00F70471"/>
    <w:rsid w:val="00F713FD"/>
    <w:rsid w:val="00F75BBC"/>
    <w:rsid w:val="00F83F04"/>
    <w:rsid w:val="00F84A15"/>
    <w:rsid w:val="00F84DD1"/>
    <w:rsid w:val="00F8662F"/>
    <w:rsid w:val="00F916E0"/>
    <w:rsid w:val="00F9475C"/>
    <w:rsid w:val="00F96C80"/>
    <w:rsid w:val="00FA4528"/>
    <w:rsid w:val="00FB06DA"/>
    <w:rsid w:val="00FB5473"/>
    <w:rsid w:val="00FC1E4B"/>
    <w:rsid w:val="00FD1341"/>
    <w:rsid w:val="00FD16A9"/>
    <w:rsid w:val="00FD7D38"/>
    <w:rsid w:val="00FE0F15"/>
    <w:rsid w:val="00FE28BD"/>
    <w:rsid w:val="00FE762C"/>
    <w:rsid w:val="00FF5CB6"/>
    <w:rsid w:val="00FF7F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3DB03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sz w:val="24"/>
    </w:rPr>
  </w:style>
  <w:style w:type="paragraph" w:styleId="Heading1">
    <w:name w:val="heading 1"/>
    <w:basedOn w:val="Normal"/>
    <w:next w:val="Normal"/>
    <w:qFormat/>
    <w:pPr>
      <w:keepNext/>
      <w:widowControl w:val="0"/>
      <w:spacing w:line="240" w:lineRule="exact"/>
      <w:outlineLvl w:val="0"/>
    </w:pPr>
    <w:rPr>
      <w:u w:val="single"/>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outlineLvl w:val="2"/>
    </w:pPr>
    <w:rPr>
      <w:sz w:val="26"/>
      <w:u w:val="single"/>
    </w:rPr>
  </w:style>
  <w:style w:type="paragraph" w:styleId="Heading4">
    <w:name w:val="heading 4"/>
    <w:basedOn w:val="Normal"/>
    <w:next w:val="Normal"/>
    <w:qFormat/>
    <w:pPr>
      <w:keepNext/>
      <w:ind w:left="10"/>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jc w:val="center"/>
    </w:pPr>
    <w:rPr>
      <w:rFonts w:eastAsia="Times New Roman"/>
      <w:b/>
      <w:noProof w:val="0"/>
    </w:rPr>
  </w:style>
  <w:style w:type="paragraph" w:styleId="Subtitle">
    <w:name w:val="Subtitle"/>
    <w:basedOn w:val="Normal"/>
    <w:qFormat/>
    <w:pPr>
      <w:widowControl w:val="0"/>
      <w:jc w:val="center"/>
    </w:pPr>
    <w:rPr>
      <w:rFonts w:eastAsia="Times New Roman"/>
      <w:b/>
      <w:noProof w:val="0"/>
    </w:rPr>
  </w:style>
  <w:style w:type="paragraph" w:styleId="BodyText">
    <w:name w:val="Body Text"/>
    <w:basedOn w:val="Normal"/>
    <w:pPr>
      <w:widowControl w:val="0"/>
      <w:spacing w:line="240" w:lineRule="exact"/>
    </w:pPr>
    <w:rPr>
      <w:u w:val="single"/>
    </w:rPr>
  </w:style>
  <w:style w:type="character" w:styleId="Hyperlink">
    <w:name w:val="Hyperlink"/>
    <w:rPr>
      <w:color w:val="0000FF"/>
      <w:u w:val="single"/>
    </w:rPr>
  </w:style>
  <w:style w:type="paragraph" w:styleId="BodyText2">
    <w:name w:val="Body Text 2"/>
    <w:basedOn w:val="Normal"/>
    <w:pPr>
      <w:tabs>
        <w:tab w:val="left" w:pos="1620"/>
      </w:tabs>
    </w:pPr>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tabs>
        <w:tab w:val="left" w:pos="507"/>
      </w:tabs>
      <w:ind w:left="460" w:hanging="450"/>
    </w:pPr>
  </w:style>
  <w:style w:type="paragraph" w:styleId="NormalWeb">
    <w:name w:val="Normal (Web)"/>
    <w:basedOn w:val="Normal"/>
    <w:uiPriority w:val="99"/>
    <w:unhideWhenUsed/>
    <w:rsid w:val="00EA69B6"/>
    <w:pPr>
      <w:spacing w:before="100" w:beforeAutospacing="1" w:after="100" w:afterAutospacing="1"/>
    </w:pPr>
    <w:rPr>
      <w:rFonts w:ascii="Times New Roman" w:hAnsi="Times New Roman"/>
      <w:noProof w:val="0"/>
      <w:szCs w:val="24"/>
    </w:rPr>
  </w:style>
  <w:style w:type="paragraph" w:styleId="ListParagraph">
    <w:name w:val="List Paragraph"/>
    <w:basedOn w:val="Normal"/>
    <w:uiPriority w:val="34"/>
    <w:qFormat/>
    <w:rsid w:val="00EA69B6"/>
    <w:pPr>
      <w:ind w:left="720"/>
      <w:contextualSpacing/>
    </w:pPr>
    <w:rPr>
      <w:rFonts w:asciiTheme="minorHAnsi" w:eastAsiaTheme="minorEastAsia" w:hAnsiTheme="minorHAnsi" w:cstheme="minorBidi"/>
      <w:noProof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4843746">
      <w:bodyDiv w:val="1"/>
      <w:marLeft w:val="0"/>
      <w:marRight w:val="0"/>
      <w:marTop w:val="0"/>
      <w:marBottom w:val="0"/>
      <w:divBdr>
        <w:top w:val="none" w:sz="0" w:space="0" w:color="auto"/>
        <w:left w:val="none" w:sz="0" w:space="0" w:color="auto"/>
        <w:bottom w:val="none" w:sz="0" w:space="0" w:color="auto"/>
        <w:right w:val="none" w:sz="0" w:space="0" w:color="auto"/>
      </w:divBdr>
      <w:divsChild>
        <w:div w:id="1896237726">
          <w:marLeft w:val="0"/>
          <w:marRight w:val="0"/>
          <w:marTop w:val="0"/>
          <w:marBottom w:val="0"/>
          <w:divBdr>
            <w:top w:val="none" w:sz="0" w:space="0" w:color="auto"/>
            <w:left w:val="none" w:sz="0" w:space="0" w:color="auto"/>
            <w:bottom w:val="none" w:sz="0" w:space="0" w:color="auto"/>
            <w:right w:val="none" w:sz="0" w:space="0" w:color="auto"/>
          </w:divBdr>
          <w:divsChild>
            <w:div w:id="1342852208">
              <w:marLeft w:val="0"/>
              <w:marRight w:val="0"/>
              <w:marTop w:val="0"/>
              <w:marBottom w:val="0"/>
              <w:divBdr>
                <w:top w:val="none" w:sz="0" w:space="0" w:color="auto"/>
                <w:left w:val="none" w:sz="0" w:space="0" w:color="auto"/>
                <w:bottom w:val="none" w:sz="0" w:space="0" w:color="auto"/>
                <w:right w:val="none" w:sz="0" w:space="0" w:color="auto"/>
              </w:divBdr>
              <w:divsChild>
                <w:div w:id="179340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hawaiipublicschools.org/ConnectWithUs/Organization/Budget/Pages/home.aspx"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3972EA2-291D-9D40-A23C-6AFBCB885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262</TotalTime>
  <Pages>7</Pages>
  <Words>2185</Words>
  <Characters>12459</Characters>
  <Application>Microsoft Macintosh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SPECIAL EDUCATION ADVISORY COUNCIL </vt:lpstr>
    </vt:vector>
  </TitlesOfParts>
  <Company>SPIN</Company>
  <LinksUpToDate>false</LinksUpToDate>
  <CharactersWithSpaces>14615</CharactersWithSpaces>
  <SharedDoc>false</SharedDoc>
  <HLinks>
    <vt:vector size="12" baseType="variant">
      <vt:variant>
        <vt:i4>4653105</vt:i4>
      </vt:variant>
      <vt:variant>
        <vt:i4>3</vt:i4>
      </vt:variant>
      <vt:variant>
        <vt:i4>0</vt:i4>
      </vt:variant>
      <vt:variant>
        <vt:i4>5</vt:i4>
      </vt:variant>
      <vt:variant>
        <vt:lpwstr>http://www.ldahawaii.org/</vt:lpwstr>
      </vt:variant>
      <vt:variant>
        <vt:lpwstr/>
      </vt:variant>
      <vt:variant>
        <vt:i4>7143540</vt:i4>
      </vt:variant>
      <vt:variant>
        <vt:i4>0</vt:i4>
      </vt:variant>
      <vt:variant>
        <vt:i4>0</vt:i4>
      </vt:variant>
      <vt:variant>
        <vt:i4>5</vt:i4>
      </vt:variant>
      <vt:variant>
        <vt:lpwstr>http://www.hawaiipublicschools.org/DOE Forms/CSSS/RestraintsSeclusions.pdf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EDUCATION ADVISORY COUNCIL </dc:title>
  <dc:subject/>
  <dc:creator>Susan Rocco</dc:creator>
  <cp:keywords/>
  <cp:lastModifiedBy>Rocco, Susan S.</cp:lastModifiedBy>
  <cp:revision>11</cp:revision>
  <cp:lastPrinted>2019-03-07T02:08:00Z</cp:lastPrinted>
  <dcterms:created xsi:type="dcterms:W3CDTF">2019-03-04T07:23:00Z</dcterms:created>
  <dcterms:modified xsi:type="dcterms:W3CDTF">2019-03-08T01:18:00Z</dcterms:modified>
</cp:coreProperties>
</file>